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6788B">
      <w:pPr>
        <w:shd w:val="clear" w:color="auto" w:fill="FFFFFF"/>
        <w:spacing w:before="100" w:beforeAutospacing="1" w:after="0" w:line="240" w:lineRule="atLeast"/>
        <w:rPr>
          <w:rFonts w:eastAsia="Times New Roman" w:cs="Times New Roman"/>
          <w:color w:val="000000"/>
          <w:sz w:val="16"/>
          <w:szCs w:val="16"/>
        </w:rPr>
      </w:pPr>
    </w:p>
    <w:tbl>
      <w:tblPr>
        <w:tblStyle w:val="5"/>
        <w:tblW w:w="9983" w:type="dxa"/>
        <w:tblInd w:w="0" w:type="dxa"/>
        <w:tblLayout w:type="autofit"/>
        <w:tblCellMar>
          <w:top w:w="0" w:type="dxa"/>
          <w:left w:w="0" w:type="dxa"/>
          <w:bottom w:w="0" w:type="dxa"/>
          <w:right w:w="0" w:type="dxa"/>
        </w:tblCellMar>
      </w:tblPr>
      <w:tblGrid>
        <w:gridCol w:w="3774"/>
        <w:gridCol w:w="6209"/>
      </w:tblGrid>
      <w:tr w14:paraId="32F5B1CE">
        <w:tblPrEx>
          <w:tblCellMar>
            <w:top w:w="0" w:type="dxa"/>
            <w:left w:w="0" w:type="dxa"/>
            <w:bottom w:w="0" w:type="dxa"/>
            <w:right w:w="0" w:type="dxa"/>
          </w:tblCellMar>
        </w:tblPrEx>
        <w:trPr>
          <w:trHeight w:val="857" w:hRule="atLeast"/>
        </w:trPr>
        <w:tc>
          <w:tcPr>
            <w:tcW w:w="3774" w:type="dxa"/>
            <w:tcBorders>
              <w:top w:val="nil"/>
              <w:left w:val="nil"/>
              <w:bottom w:val="nil"/>
              <w:right w:val="nil"/>
            </w:tcBorders>
            <w:shd w:val="clear" w:color="auto" w:fill="FFFFFF"/>
            <w:tcMar>
              <w:top w:w="0" w:type="dxa"/>
              <w:left w:w="108" w:type="dxa"/>
              <w:bottom w:w="0" w:type="dxa"/>
              <w:right w:w="108" w:type="dxa"/>
            </w:tcMar>
          </w:tcPr>
          <w:p w14:paraId="412C7F70">
            <w:pPr>
              <w:spacing w:before="120" w:after="120" w:line="240" w:lineRule="atLeast"/>
              <w:ind w:left="360"/>
              <w:contextualSpacing/>
              <w:jc w:val="center"/>
              <w:rPr>
                <w:rFonts w:eastAsia="Times New Roman" w:cs="Times New Roman"/>
                <w:b/>
                <w:bCs/>
                <w:color w:val="000000"/>
                <w:spacing w:val="2"/>
                <w:sz w:val="26"/>
                <w:szCs w:val="26"/>
              </w:rPr>
            </w:pPr>
            <w:r>
              <w:rPr>
                <w:rFonts w:eastAsia="Times New Roman" w:cs="Times New Roman"/>
                <w:b/>
                <w:bCs/>
                <w:color w:val="000000"/>
                <w:spacing w:val="2"/>
                <w:sz w:val="26"/>
                <w:szCs w:val="26"/>
              </w:rPr>
              <w:t>ỦY BAN NHÂN DÂN</w:t>
            </w:r>
          </w:p>
          <w:p w14:paraId="20A67235">
            <w:pPr>
              <w:spacing w:after="120" w:line="240" w:lineRule="atLeast"/>
              <w:ind w:left="360"/>
              <w:contextualSpacing/>
              <w:jc w:val="center"/>
              <w:rPr>
                <w:rFonts w:eastAsia="Times New Roman" w:cs="Times New Roman"/>
                <w:color w:val="000000"/>
                <w:szCs w:val="28"/>
              </w:rPr>
            </w:pPr>
            <w:r>
              <w:rPr>
                <w:rFonts w:eastAsia="Times New Roman" w:cs="Times New Roman"/>
                <w:b/>
                <w:bCs/>
                <w:color w:val="000000"/>
                <w:spacing w:val="2"/>
                <w:sz w:val="26"/>
                <w:szCs w:val="26"/>
              </w:rPr>
              <mc:AlternateContent>
                <mc:Choice Requires="wps">
                  <w:drawing>
                    <wp:anchor distT="0" distB="0" distL="114300" distR="114300" simplePos="0" relativeHeight="251660288" behindDoc="0" locked="0" layoutInCell="1" allowOverlap="1">
                      <wp:simplePos x="0" y="0"/>
                      <wp:positionH relativeFrom="column">
                        <wp:posOffset>795655</wp:posOffset>
                      </wp:positionH>
                      <wp:positionV relativeFrom="paragraph">
                        <wp:posOffset>189865</wp:posOffset>
                      </wp:positionV>
                      <wp:extent cx="8191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8192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2.65pt;margin-top:14.95pt;height:0pt;width:64.5pt;z-index:251660288;mso-width-relative:page;mso-height-relative:page;" filled="f" stroked="t" coordsize="21600,21600" o:gfxdata="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akA8TYAAAA&#10;CQEAAA8AAAAAAAAAAQAgAAAAIgAAAGRycy9kb3ducmV2LnhtbFBLAQIUABQAAAAIAIdO4kBFwh9l&#10;5AEAANUDAAAOAAAAAAAAAAEAIAAAACcBAABkcnMvZTJvRG9jLnhtbFBLBQYAAAAABgAGAFkBAAB9&#10;BQAAAAA=&#10;">
                      <v:fill on="f" focussize="0,0"/>
                      <v:stroke color="#4A7EBB [3204]" joinstyle="round"/>
                      <v:imagedata o:title=""/>
                      <o:lock v:ext="edit" aspectratio="f"/>
                    </v:line>
                  </w:pict>
                </mc:Fallback>
              </mc:AlternateContent>
            </w:r>
            <w:r>
              <w:rPr>
                <w:rFonts w:eastAsia="Times New Roman" w:cs="Times New Roman"/>
                <w:b/>
                <w:bCs/>
                <w:color w:val="000000"/>
                <w:spacing w:val="2"/>
                <w:sz w:val="26"/>
                <w:szCs w:val="26"/>
              </w:rPr>
              <w:t>HUYỆN ĐÔNG GIANG</w:t>
            </w:r>
          </w:p>
        </w:tc>
        <w:tc>
          <w:tcPr>
            <w:tcW w:w="6209" w:type="dxa"/>
            <w:tcBorders>
              <w:top w:val="nil"/>
              <w:left w:val="nil"/>
              <w:bottom w:val="nil"/>
              <w:right w:val="nil"/>
            </w:tcBorders>
            <w:shd w:val="clear" w:color="auto" w:fill="FFFFFF"/>
            <w:tcMar>
              <w:top w:w="0" w:type="dxa"/>
              <w:left w:w="108" w:type="dxa"/>
              <w:bottom w:w="0" w:type="dxa"/>
              <w:right w:w="108" w:type="dxa"/>
            </w:tcMar>
          </w:tcPr>
          <w:p w14:paraId="6DE70A94">
            <w:pPr>
              <w:spacing w:after="120" w:line="240" w:lineRule="atLeast"/>
              <w:jc w:val="center"/>
              <w:rPr>
                <w:rFonts w:eastAsia="Times New Roman" w:cs="Times New Roman"/>
                <w:color w:val="000000"/>
                <w:szCs w:val="28"/>
              </w:rPr>
            </w:pPr>
            <w:r>
              <w:rPr>
                <w:rFonts w:eastAsia="Times New Roman" w:cs="Times New Roman"/>
                <w:b/>
                <w:bCs/>
                <w:color w:val="000000"/>
                <w:szCs w:val="28"/>
              </w:rPr>
              <w:t>CỘNG HÒA XÃ HỘI CHỦ NGHĨA VIỆT NAM</w:t>
            </w:r>
            <w:r>
              <w:rPr>
                <w:rFonts w:eastAsia="Times New Roman" w:cs="Times New Roman"/>
                <w:b/>
                <w:bCs/>
                <w:color w:val="000000"/>
                <w:szCs w:val="28"/>
              </w:rPr>
              <w:br w:type="textWrapping"/>
            </w:r>
            <w:r>
              <w:rPr>
                <w:rFonts w:eastAsia="Times New Roman" w:cs="Times New Roman"/>
                <w:b/>
                <w:bCs/>
                <w:color w:val="000000"/>
                <w:szCs w:val="28"/>
                <w:u w:val="single"/>
              </w:rPr>
              <w:t>Độc lập - Tự do - Hạnh phúc</w:t>
            </w:r>
          </w:p>
        </w:tc>
      </w:tr>
      <w:tr w14:paraId="44A610B0">
        <w:tblPrEx>
          <w:tblCellMar>
            <w:top w:w="0" w:type="dxa"/>
            <w:left w:w="0" w:type="dxa"/>
            <w:bottom w:w="0" w:type="dxa"/>
            <w:right w:w="0" w:type="dxa"/>
          </w:tblCellMar>
        </w:tblPrEx>
        <w:trPr>
          <w:trHeight w:val="514" w:hRule="atLeast"/>
        </w:trPr>
        <w:tc>
          <w:tcPr>
            <w:tcW w:w="3774" w:type="dxa"/>
            <w:tcBorders>
              <w:top w:val="nil"/>
              <w:left w:val="nil"/>
              <w:bottom w:val="nil"/>
              <w:right w:val="nil"/>
            </w:tcBorders>
            <w:shd w:val="clear" w:color="auto" w:fill="FFFFFF"/>
            <w:tcMar>
              <w:top w:w="0" w:type="dxa"/>
              <w:left w:w="108" w:type="dxa"/>
              <w:bottom w:w="0" w:type="dxa"/>
              <w:right w:w="108" w:type="dxa"/>
            </w:tcMar>
          </w:tcPr>
          <w:p w14:paraId="7F9C024B">
            <w:pPr>
              <w:spacing w:before="120" w:after="120" w:line="240" w:lineRule="atLeast"/>
              <w:jc w:val="center"/>
              <w:rPr>
                <w:rFonts w:eastAsia="Times New Roman" w:cs="Times New Roman"/>
                <w:color w:val="000000"/>
                <w:szCs w:val="28"/>
              </w:rPr>
            </w:pPr>
            <w:r>
              <w:rPr>
                <w:rFonts w:eastAsia="Times New Roman" w:cs="Times New Roman"/>
                <w:color w:val="000000"/>
                <w:szCs w:val="28"/>
              </w:rPr>
              <w:t>#SoKyHieuVanBan</w:t>
            </w:r>
          </w:p>
        </w:tc>
        <w:tc>
          <w:tcPr>
            <w:tcW w:w="6209" w:type="dxa"/>
            <w:tcBorders>
              <w:top w:val="nil"/>
              <w:left w:val="nil"/>
              <w:bottom w:val="nil"/>
              <w:right w:val="nil"/>
            </w:tcBorders>
            <w:shd w:val="clear" w:color="auto" w:fill="FFFFFF"/>
            <w:tcMar>
              <w:top w:w="0" w:type="dxa"/>
              <w:left w:w="108" w:type="dxa"/>
              <w:bottom w:w="0" w:type="dxa"/>
              <w:right w:w="108" w:type="dxa"/>
            </w:tcMar>
          </w:tcPr>
          <w:p w14:paraId="3E5716B1">
            <w:pPr>
              <w:spacing w:before="120" w:after="120" w:line="240" w:lineRule="atLeast"/>
              <w:jc w:val="center"/>
              <w:rPr>
                <w:rFonts w:eastAsia="Times New Roman" w:cs="Times New Roman"/>
                <w:color w:val="000000"/>
                <w:szCs w:val="28"/>
              </w:rPr>
            </w:pPr>
            <w:r>
              <w:rPr>
                <w:rFonts w:eastAsia="Times New Roman" w:cs="Times New Roman"/>
                <w:i/>
                <w:iCs/>
                <w:color w:val="000000"/>
                <w:szCs w:val="28"/>
              </w:rPr>
              <w:t>#DiaDiemNgayBanHanh</w:t>
            </w:r>
          </w:p>
        </w:tc>
      </w:tr>
    </w:tbl>
    <w:p w14:paraId="4CF71630">
      <w:pPr>
        <w:shd w:val="clear" w:color="auto" w:fill="FFFFFF"/>
        <w:spacing w:before="240" w:after="0" w:line="240" w:lineRule="auto"/>
        <w:jc w:val="center"/>
        <w:rPr>
          <w:rFonts w:eastAsia="Times New Roman" w:cs="Times New Roman"/>
          <w:b/>
          <w:bCs/>
          <w:color w:val="000000"/>
          <w:szCs w:val="28"/>
        </w:rPr>
      </w:pPr>
      <w:r>
        <w:rPr>
          <w:rFonts w:eastAsia="Times New Roman" w:cs="Times New Roman"/>
          <w:b/>
          <w:bCs/>
          <w:color w:val="000000"/>
          <w:szCs w:val="28"/>
        </w:rPr>
        <w:t>BÁO CÁO</w:t>
      </w:r>
    </w:p>
    <w:p w14:paraId="1F001034">
      <w:pPr>
        <w:shd w:val="clear" w:color="auto" w:fill="FFFFFF"/>
        <w:spacing w:after="0" w:line="240" w:lineRule="auto"/>
        <w:jc w:val="center"/>
        <w:rPr>
          <w:rFonts w:eastAsia="Times New Roman" w:cs="Times New Roman"/>
          <w:b/>
          <w:bCs/>
          <w:color w:val="000000"/>
          <w:szCs w:val="28"/>
        </w:rPr>
      </w:pPr>
      <w:r>
        <w:rPr>
          <w:rFonts w:eastAsia="Times New Roman" w:cs="Times New Roman"/>
          <w:b/>
          <w:bCs/>
          <w:color w:val="000000"/>
          <w:szCs w:val="28"/>
        </w:rPr>
        <w:t>Kết quả đánh giá, công nhận xã, thị trấn đạt chuẩn</w:t>
      </w:r>
    </w:p>
    <w:p w14:paraId="2D13CB99">
      <w:pPr>
        <w:shd w:val="clear" w:color="auto" w:fill="FFFFFF"/>
        <w:spacing w:after="0" w:line="240" w:lineRule="auto"/>
        <w:ind w:firstLine="709"/>
        <w:jc w:val="center"/>
        <w:rPr>
          <w:rFonts w:eastAsia="Times New Roman" w:cs="Times New Roman"/>
          <w:b/>
          <w:bCs/>
          <w:color w:val="000000"/>
          <w:szCs w:val="28"/>
        </w:rPr>
      </w:pPr>
      <w:r>
        <w:rPr>
          <w:rFonts w:eastAsia="Times New Roman" w:cs="Times New Roman"/>
          <w:b/>
          <w:bCs/>
          <w:color w:val="000000"/>
          <w:szCs w:val="28"/>
        </w:rPr>
        <w:t>tiếp cận pháp luật năm 2024</w:t>
      </w:r>
    </w:p>
    <w:p w14:paraId="26C93749">
      <w:pPr>
        <w:shd w:val="clear" w:color="auto" w:fill="FFFFFF"/>
        <w:spacing w:after="0" w:line="273" w:lineRule="auto"/>
        <w:ind w:firstLine="709"/>
        <w:jc w:val="both"/>
        <w:rPr>
          <w:rFonts w:eastAsia="Times New Roman" w:cs="Times New Roman"/>
          <w:b/>
          <w:bCs/>
          <w:color w:val="000000"/>
          <w:szCs w:val="28"/>
        </w:rPr>
      </w:pPr>
      <w:r>
        <w:rPr>
          <w:rFonts w:eastAsia="Times New Roman" w:cs="Times New Roman"/>
          <w:b/>
          <w:bCs/>
          <w:color w:val="000000"/>
          <w:szCs w:val="28"/>
        </w:rPr>
        <mc:AlternateContent>
          <mc:Choice Requires="wps">
            <w:drawing>
              <wp:anchor distT="0" distB="0" distL="114300" distR="114300" simplePos="0" relativeHeight="251661312" behindDoc="0" locked="0" layoutInCell="1" allowOverlap="1">
                <wp:simplePos x="0" y="0"/>
                <wp:positionH relativeFrom="column">
                  <wp:posOffset>2714625</wp:posOffset>
                </wp:positionH>
                <wp:positionV relativeFrom="paragraph">
                  <wp:posOffset>14605</wp:posOffset>
                </wp:positionV>
                <wp:extent cx="967105" cy="0"/>
                <wp:effectExtent l="0" t="0" r="23495" b="19050"/>
                <wp:wrapNone/>
                <wp:docPr id="5" name="Straight Connector 5"/>
                <wp:cNvGraphicFramePr/>
                <a:graphic xmlns:a="http://schemas.openxmlformats.org/drawingml/2006/main">
                  <a:graphicData uri="http://schemas.microsoft.com/office/word/2010/wordprocessingShape">
                    <wps:wsp>
                      <wps:cNvCnPr/>
                      <wps:spPr>
                        <a:xfrm>
                          <a:off x="0" y="0"/>
                          <a:ext cx="9672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3.75pt;margin-top:1.15pt;height:0pt;width:76.15pt;z-index:251661312;mso-width-relative:page;mso-height-relative:page;" filled="f" stroked="t" coordsize="21600,21600" o:gfxdata="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FUvtNcAAAAH&#10;AQAADwAAAAAAAAABACAAAAAiAAAAZHJzL2Rvd25yZXYueG1sUEsBAhQAFAAAAAgAh07iQE81Pt/k&#10;AQAA1QMAAA4AAAAAAAAAAQAgAAAAJgEAAGRycy9lMm9Eb2MueG1sUEsFBgAAAAAGAAYAWQEAAHwF&#10;AAAAAA==&#10;">
                <v:fill on="f" focussize="0,0"/>
                <v:stroke color="#4A7EBB [3204]" joinstyle="round"/>
                <v:imagedata o:title=""/>
                <o:lock v:ext="edit" aspectratio="f"/>
              </v:line>
            </w:pict>
          </mc:Fallback>
        </mc:AlternateContent>
      </w:r>
    </w:p>
    <w:p w14:paraId="34CB107B">
      <w:pPr>
        <w:shd w:val="clear" w:color="auto" w:fill="FFFFFF"/>
        <w:spacing w:after="0" w:line="240" w:lineRule="auto"/>
        <w:ind w:firstLine="709"/>
        <w:jc w:val="both"/>
        <w:rPr>
          <w:rFonts w:eastAsia="Times New Roman" w:cs="Times New Roman"/>
          <w:color w:val="000000"/>
          <w:szCs w:val="28"/>
        </w:rPr>
      </w:pPr>
      <w:r>
        <w:rPr>
          <w:rFonts w:eastAsia="Times New Roman" w:cs="Times New Roman"/>
          <w:b/>
          <w:bCs/>
          <w:color w:val="000000"/>
          <w:szCs w:val="28"/>
        </w:rPr>
        <w:t>I. Kết quả đạt được</w:t>
      </w:r>
    </w:p>
    <w:p w14:paraId="24D7835C">
      <w:pPr>
        <w:shd w:val="clear" w:color="auto" w:fill="FFFFFF"/>
        <w:spacing w:after="0" w:line="240" w:lineRule="auto"/>
        <w:ind w:firstLine="709"/>
        <w:jc w:val="both"/>
        <w:rPr>
          <w:rFonts w:eastAsia="Times New Roman" w:cs="Times New Roman"/>
          <w:color w:val="000000"/>
          <w:szCs w:val="28"/>
        </w:rPr>
      </w:pPr>
      <w:r>
        <w:rPr>
          <w:rFonts w:eastAsia="Times New Roman" w:cs="Times New Roman"/>
          <w:color w:val="000000"/>
          <w:szCs w:val="28"/>
        </w:rPr>
        <w:t>1. Công tác chỉ đạo, hướng dẫn thực hiện</w:t>
      </w:r>
    </w:p>
    <w:p w14:paraId="0A58BD3F">
      <w:pPr>
        <w:shd w:val="clear" w:color="auto" w:fill="FFFFFF"/>
        <w:spacing w:after="0" w:line="240" w:lineRule="auto"/>
        <w:ind w:firstLine="709"/>
        <w:jc w:val="both"/>
        <w:rPr>
          <w:rFonts w:eastAsia="Calibri" w:cs="Times New Roman"/>
          <w:szCs w:val="28"/>
        </w:rPr>
      </w:pPr>
      <w:r>
        <w:rPr>
          <w:rFonts w:eastAsia="Times New Roman" w:cs="Times New Roman"/>
          <w:color w:val="000000"/>
          <w:szCs w:val="28"/>
        </w:rPr>
        <w:t>Để triển khai thực hiện</w:t>
      </w:r>
      <w:r>
        <w:rPr>
          <w:rFonts w:eastAsia="Calibri" w:cs="Times New Roman"/>
          <w:szCs w:val="28"/>
        </w:rPr>
        <w:t xml:space="preserve">  Quyết định số 25/2021/QĐ-TTg ngày 22/7/2021 của Thủ tướng Chính phủ quy định về xã, phường, thị trấn đạt chuẩn tiếp cận pháp luật; Thông tư số 09/2021/TT-BTP ngày 15/11/2021 của Bộ Tư pháp; Quyết định số 141/QĐ-UBND ngày16/01/2023 của UBND tỉnh Quảng Nam Ban hành các kế hoạch Phổ biến giáo dục pháp luật, hòa giải ở cơ sở; xây dựng cấp xã đạt chuẩn tiếp cận pháp luật năm 2024; Quyết định </w:t>
      </w:r>
      <w:r>
        <w:rPr>
          <w:rFonts w:eastAsia="Calibri" w:cs="Times New Roman"/>
          <w:color w:val="000000" w:themeColor="text1"/>
          <w:szCs w:val="28"/>
          <w14:textFill>
            <w14:solidFill>
              <w14:schemeClr w14:val="tx1"/>
            </w14:solidFill>
          </w14:textFill>
        </w:rPr>
        <w:t>số 402</w:t>
      </w:r>
      <w:r>
        <w:rPr>
          <w:rFonts w:eastAsia="Calibri" w:cs="Times New Roman"/>
          <w:szCs w:val="28"/>
        </w:rPr>
        <w:t>/QĐ-UBND ngày 29/02/2024 của UBND huyện Đông Giang ban hành các kế hoạch công tác tư pháp năm 2024, kế hoạch trọng tâm công tác tư pháp năm 2024; và kế hoạch số 77/KH-UBND ngày 07/3/2024 của UBND huyện về việc triển khai thực hiện Quy định về xã, thị trấn đạt chuẩn tiếp cận pháp luật trên địa bàn huyện Đông Giang năm 2024.</w:t>
      </w:r>
    </w:p>
    <w:p w14:paraId="12A85721">
      <w:pPr>
        <w:spacing w:after="0" w:line="240" w:lineRule="auto"/>
        <w:ind w:firstLine="720"/>
        <w:jc w:val="both"/>
        <w:rPr>
          <w:rFonts w:eastAsia="Calibri" w:cs="Times New Roman"/>
          <w:szCs w:val="28"/>
        </w:rPr>
      </w:pPr>
      <w:r>
        <w:rPr>
          <w:rFonts w:eastAsia="Calibri" w:cs="Times New Roman"/>
          <w:szCs w:val="28"/>
        </w:rPr>
        <w:t>Ngoài ra, trong năm Ủy ban nhân huyện còn ban hành</w:t>
      </w:r>
      <w:r>
        <w:rPr>
          <w:rFonts w:eastAsia="SimSun" w:cs="Times New Roman"/>
          <w:szCs w:val="28"/>
        </w:rPr>
        <w:t xml:space="preserve"> các </w:t>
      </w:r>
      <w:r>
        <w:rPr>
          <w:rFonts w:eastAsia="Calibri" w:cs="Times New Roman"/>
          <w:szCs w:val="28"/>
        </w:rPr>
        <w:t xml:space="preserve">công văn số 1340/UBND-NC ngày 26/6/2023 hướng dẫn triển khai một số nội dung trọng tâm trong công tác đánh giá chuẩn tiếp cận pháp luật năm 2024; công văn số  10/CV- TP ngày 20/02/2024 về việc góp ý kiến </w:t>
      </w:r>
      <w:r>
        <w:rPr>
          <w:rFonts w:eastAsia="SimSun" w:cs="Times New Roman"/>
          <w:color w:val="000000"/>
          <w:szCs w:val="28"/>
          <w:lang w:eastAsia="zh-CN"/>
        </w:rPr>
        <w:t>kiện toàn Hội đồng đánh giá chuẩn tiếp cận pháp luật huyện Đông Giang; Quyết định số 416/QĐ-UBND ngày 05/3/2024 về việc kiện toàn Hội đồng đánh giá chuẩn tiếp cận pháp luật huyện Đông Giang</w:t>
      </w:r>
      <w:r>
        <w:rPr>
          <w:rFonts w:eastAsia="Calibri" w:cs="Times New Roman"/>
          <w:szCs w:val="28"/>
        </w:rPr>
        <w:t>; công văn số 2553/UBND-TH ngày 28/11/2024 về thực hiện công tác đánh giá chuẩn tiếp cận pháp luật năm 2024 trên địa bàn huyện.</w:t>
      </w:r>
    </w:p>
    <w:p w14:paraId="02764740">
      <w:pPr>
        <w:shd w:val="clear" w:color="auto" w:fill="FFFFFF"/>
        <w:spacing w:after="0" w:line="240" w:lineRule="auto"/>
        <w:ind w:firstLine="706"/>
        <w:jc w:val="both"/>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2. Triển khai nhiệm vụ; thông tin, truyền thông, tập huấn</w:t>
      </w:r>
    </w:p>
    <w:p w14:paraId="44CFF9FD">
      <w:pPr>
        <w:shd w:val="clear" w:color="auto" w:fill="FFFFFF"/>
        <w:spacing w:after="0" w:line="240" w:lineRule="auto"/>
        <w:ind w:firstLine="706"/>
        <w:jc w:val="both"/>
        <w:rPr>
          <w:rFonts w:eastAsia="Calibri" w:cs="Times New Roman"/>
          <w:szCs w:val="28"/>
        </w:rPr>
      </w:pPr>
      <w:r>
        <w:rPr>
          <w:rFonts w:eastAsia="Times New Roman" w:cs="Times New Roman"/>
          <w:color w:val="000000"/>
          <w:szCs w:val="28"/>
        </w:rPr>
        <w:t xml:space="preserve">Để thực hiện công tác đánh giá tiếp cận pháp luật trên địa bàn theo kế hoạch UBND huyện đã giao, ngay từ đầu năm Phòng Tư pháp huyện đã tham mưu tổ chức tập huấn, hướng dẫn nghiệp vụ cho 70 người là Chủ tịch (hoặc Phó Chủ tịch) của UBND, MTQQVN, Trưởng công an, công chức Tư pháp- Hộ tịch, Văn hóa xã hội, Văn phòng các xã, thị trấn về xây dựng, đánh giá CTCPL năm 2024;  thông qua công tác tuyên truyền PBGD pháp luật theo đề án, mô hình, chương trình mục tiêu chuyển tải các nội dung liên quan về công tác xây dựng xã CTCPL như: Luật Thực hiện dân chủ ở cơ sở, Luật Cung cấp thông tin và các văn bản liên quan cho các địa phương, tổ chức triển khai </w:t>
      </w:r>
      <w:r>
        <w:rPr>
          <w:rFonts w:eastAsia="Calibri" w:cs="Times New Roman"/>
          <w:szCs w:val="28"/>
        </w:rPr>
        <w:t xml:space="preserve">Quyết định số 25/2021/QĐ-TTg ngày 22/7/2021 của Thủ tướng Chính phủ quy định về xã, phường, thị trấn đạt chuẩn tiếp cận pháp luật; Thông tư số 09/2021/TT-BTP ngày 15/11/2021 của Bộ Tư pháp, các văn bản liên quan đến công tác đánh giá CTCPL.  </w:t>
      </w:r>
    </w:p>
    <w:p w14:paraId="01FB9C17">
      <w:pPr>
        <w:shd w:val="clear" w:color="auto" w:fill="FFFFFF"/>
        <w:spacing w:after="0" w:line="240" w:lineRule="auto"/>
        <w:ind w:firstLine="709"/>
        <w:jc w:val="both"/>
        <w:rPr>
          <w:rFonts w:eastAsia="Times New Roman" w:cs="Times New Roman"/>
          <w:color w:val="000000"/>
          <w:szCs w:val="28"/>
        </w:rPr>
      </w:pPr>
      <w:r>
        <w:rPr>
          <w:rFonts w:eastAsia="Calibri" w:cs="Times New Roman"/>
          <w:szCs w:val="28"/>
        </w:rPr>
        <w:t>Cử công chức Tư pháp-Hộ tịch 11 xã, thị trấn tham gia tập huấn công tác đánh giá chuẩn tiếp cận pháp luật tại tỉnh do Sở Tư pháp tổ chức</w:t>
      </w:r>
    </w:p>
    <w:p w14:paraId="1DB7F524">
      <w:pPr>
        <w:numPr>
          <w:ilvl w:val="0"/>
          <w:numId w:val="1"/>
        </w:numPr>
        <w:shd w:val="clear" w:color="auto" w:fill="FFFFFF"/>
        <w:spacing w:before="60" w:after="0" w:line="240" w:lineRule="auto"/>
        <w:ind w:firstLine="706"/>
        <w:jc w:val="both"/>
        <w:rPr>
          <w:rFonts w:eastAsia="Times New Roman" w:cs="Times New Roman"/>
          <w:color w:val="000000"/>
          <w:szCs w:val="28"/>
        </w:rPr>
      </w:pPr>
      <w:r>
        <w:rPr>
          <w:rFonts w:eastAsia="Times New Roman" w:cs="Times New Roman"/>
          <w:color w:val="000000"/>
          <w:szCs w:val="28"/>
        </w:rPr>
        <w:t>Tổ chức kiểm tra, triển khai giải pháp khắc phục, tháo gỡ khó khăn, vướng mắc</w:t>
      </w:r>
    </w:p>
    <w:p w14:paraId="0A4E0DA2">
      <w:pPr>
        <w:shd w:val="clear" w:color="auto" w:fill="FFFFFF"/>
        <w:spacing w:after="0" w:line="240" w:lineRule="auto"/>
        <w:ind w:firstLine="720"/>
        <w:jc w:val="both"/>
        <w:rPr>
          <w:rFonts w:eastAsia="Calibri"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 xml:space="preserve">Ngay từ đầu năm thông qua công tác hướng dẫn, tập huấn nghiệp vụ chuyên môn, công tác kiểm tra lĩnh vực ngành hàng năm, Phòng Tư pháp huyện đã kiểm tra việc lưu hồ sơ, tiêu chí đánh giá của các xã, thị trấn trên cơ sở đó tham mưu UBND huyện chỉ đạo các xã, thị trấn về xây dựng, đánh giá CTCPL năm 2024;  thông qua công tác tuyên truyền PBGD pháp luật theo đề án, mô hình, chương trình mục tiêu đã cung cấp các nội dung về pháp luật để người dân tiếp cận như Luật Tiếp cận thông tin; các quyền và nghĩa vụ của công dân theo Hiến pháp 2013; Luật Phòng, chống bạo lực gia đình; Luật Dân chủ ở cơ sở; Luật Trợ giúp pháp lý… để người dân tiếp cận các lĩnh vực pháp luật theo quy định. </w:t>
      </w:r>
    </w:p>
    <w:p w14:paraId="0C94A49B">
      <w:pPr>
        <w:shd w:val="clear" w:color="auto" w:fill="FFFFFF"/>
        <w:spacing w:before="60" w:after="0" w:line="240" w:lineRule="auto"/>
        <w:ind w:firstLine="706"/>
        <w:jc w:val="both"/>
        <w:rPr>
          <w:rFonts w:eastAsia="Times New Roman" w:cs="Times New Roman"/>
          <w:color w:val="000000"/>
          <w:szCs w:val="28"/>
        </w:rPr>
      </w:pPr>
      <w:r>
        <w:rPr>
          <w:rFonts w:eastAsia="Times New Roman" w:cs="Times New Roman"/>
          <w:color w:val="000000"/>
          <w:szCs w:val="28"/>
        </w:rPr>
        <w:t>4. Bố trí nguồn lực thực hiện</w:t>
      </w:r>
    </w:p>
    <w:p w14:paraId="45369427">
      <w:pPr>
        <w:shd w:val="clear" w:color="auto" w:fill="FFFFFF"/>
        <w:spacing w:after="0" w:line="240" w:lineRule="auto"/>
        <w:ind w:firstLine="706"/>
        <w:jc w:val="both"/>
        <w:rPr>
          <w:rFonts w:eastAsia="Times New Roman" w:cs="Times New Roman"/>
          <w:color w:val="000000"/>
          <w:szCs w:val="28"/>
        </w:rPr>
      </w:pPr>
      <w:r>
        <w:rPr>
          <w:rFonts w:eastAsia="Times New Roman" w:cs="Times New Roman"/>
          <w:color w:val="000000"/>
          <w:szCs w:val="28"/>
        </w:rPr>
        <w:t xml:space="preserve">- Đối với cấp huyện, nguồn lực thực hiện theo nguồn ngân sách bố trí hoạt động thường xuyên của Phòng Tư pháp trong công tác tuyên truyền phổ biến giáo dục pháp luật, trợ giúp pháp lý, hòa giải ở cơ sở, chưa giao kinh phí cho công tác này.  </w:t>
      </w:r>
    </w:p>
    <w:p w14:paraId="1BF5D040">
      <w:pPr>
        <w:shd w:val="clear" w:color="auto" w:fill="FFFFFF"/>
        <w:spacing w:after="0" w:line="240" w:lineRule="auto"/>
        <w:ind w:firstLine="706"/>
        <w:jc w:val="both"/>
        <w:rPr>
          <w:rFonts w:eastAsia="Times New Roman" w:cs="Times New Roman"/>
          <w:color w:val="000000"/>
          <w:szCs w:val="28"/>
        </w:rPr>
      </w:pPr>
      <w:r>
        <w:rPr>
          <w:rFonts w:eastAsia="Times New Roman" w:cs="Times New Roman"/>
          <w:color w:val="000000"/>
          <w:szCs w:val="28"/>
        </w:rPr>
        <w:t>- Đối với cấp xã nguồn lực thực hiện theo nguồn ngân sách bố trí hoạt động thường xuyên của cấp xã, chưa bố trí riêng cho hoạt động này</w:t>
      </w:r>
    </w:p>
    <w:p w14:paraId="4ED8EBFA">
      <w:pPr>
        <w:shd w:val="clear" w:color="auto" w:fill="FFFFFF"/>
        <w:spacing w:before="60" w:after="0" w:line="240" w:lineRule="auto"/>
        <w:ind w:firstLine="706"/>
        <w:jc w:val="both"/>
        <w:rPr>
          <w:rFonts w:eastAsia="Times New Roman" w:cs="Times New Roman"/>
          <w:color w:val="000000"/>
          <w:szCs w:val="28"/>
        </w:rPr>
      </w:pPr>
      <w:r>
        <w:rPr>
          <w:rFonts w:eastAsia="Times New Roman" w:cs="Times New Roman"/>
          <w:color w:val="000000"/>
          <w:szCs w:val="28"/>
        </w:rPr>
        <w:t>5. Kết quả tổ chức đánh giá, công nhận xã, phường, thị trấn đạt chuẩn tiếp cận pháp luật</w:t>
      </w:r>
    </w:p>
    <w:p w14:paraId="06E73666">
      <w:pPr>
        <w:shd w:val="clear" w:color="auto" w:fill="FFFFFF"/>
        <w:spacing w:after="0" w:line="240" w:lineRule="auto"/>
        <w:ind w:firstLine="706"/>
        <w:jc w:val="both"/>
        <w:rPr>
          <w:rFonts w:eastAsia="Times New Roman" w:cs="Times New Roman"/>
          <w:i/>
          <w:iCs/>
          <w:color w:val="000000"/>
          <w:szCs w:val="28"/>
        </w:rPr>
      </w:pPr>
      <w:r>
        <w:rPr>
          <w:rFonts w:eastAsia="Times New Roman" w:cs="Times New Roman"/>
          <w:color w:val="000000"/>
          <w:szCs w:val="28"/>
        </w:rPr>
        <w:t>Có</w:t>
      </w:r>
      <w:r>
        <w:rPr>
          <w:rFonts w:eastAsia="Times New Roman" w:cs="Times New Roman"/>
          <w:color w:val="FF0000"/>
          <w:szCs w:val="28"/>
        </w:rPr>
        <w:t xml:space="preserve"> </w:t>
      </w:r>
      <w:r>
        <w:rPr>
          <w:rFonts w:hint="default" w:eastAsia="Times New Roman" w:cs="Times New Roman"/>
          <w:color w:val="FF0000"/>
          <w:szCs w:val="28"/>
          <w:lang w:val="en-US"/>
        </w:rPr>
        <w:t>8</w:t>
      </w:r>
      <w:bookmarkStart w:id="0" w:name="_GoBack"/>
      <w:bookmarkEnd w:id="0"/>
      <w:r>
        <w:rPr>
          <w:rFonts w:eastAsia="Times New Roman" w:cs="Times New Roman"/>
          <w:b/>
          <w:color w:val="000000"/>
          <w:szCs w:val="28"/>
        </w:rPr>
        <w:t>/ 11</w:t>
      </w:r>
      <w:r>
        <w:rPr>
          <w:rFonts w:eastAsia="Times New Roman" w:cs="Times New Roman"/>
          <w:color w:val="000000"/>
          <w:szCs w:val="28"/>
        </w:rPr>
        <w:t xml:space="preserve"> xã, thị trấn đạt chuẩn tiếp cận pháp luật năm 2024</w:t>
      </w:r>
      <w:r>
        <w:rPr>
          <w:rFonts w:eastAsia="Times New Roman" w:cs="Times New Roman"/>
          <w:i/>
          <w:iCs/>
          <w:color w:val="000000"/>
          <w:szCs w:val="28"/>
        </w:rPr>
        <w:t>( có danh sách kèm theo).</w:t>
      </w:r>
    </w:p>
    <w:p w14:paraId="4D8DAA50">
      <w:pPr>
        <w:shd w:val="clear" w:color="auto" w:fill="FFFFFF"/>
        <w:spacing w:before="120" w:after="0" w:line="273" w:lineRule="auto"/>
        <w:ind w:firstLine="709"/>
        <w:jc w:val="both"/>
        <w:rPr>
          <w:rFonts w:eastAsia="Times New Roman" w:cs="Times New Roman"/>
          <w:color w:val="000000"/>
          <w:szCs w:val="28"/>
        </w:rPr>
      </w:pPr>
      <w:r>
        <w:rPr>
          <w:rFonts w:eastAsia="Times New Roman" w:cs="Times New Roman"/>
          <w:b/>
          <w:bCs/>
          <w:color w:val="000000"/>
          <w:szCs w:val="28"/>
        </w:rPr>
        <w:t>II. Thuận lợi, khó khăn, hạn chế và nguyên nhân</w:t>
      </w:r>
    </w:p>
    <w:p w14:paraId="40A02A85">
      <w:pPr>
        <w:numPr>
          <w:ilvl w:val="0"/>
          <w:numId w:val="2"/>
        </w:numPr>
        <w:shd w:val="clear" w:color="auto" w:fill="FFFFFF"/>
        <w:spacing w:before="100" w:beforeAutospacing="1" w:after="0" w:line="273" w:lineRule="auto"/>
        <w:contextualSpacing/>
        <w:jc w:val="both"/>
        <w:rPr>
          <w:rFonts w:eastAsia="Times New Roman" w:cs="Times New Roman"/>
          <w:color w:val="000000"/>
          <w:szCs w:val="28"/>
        </w:rPr>
      </w:pPr>
      <w:r>
        <w:rPr>
          <w:rFonts w:eastAsia="Times New Roman" w:cs="Times New Roman"/>
          <w:color w:val="000000"/>
          <w:szCs w:val="28"/>
        </w:rPr>
        <w:t>Thuận lợi</w:t>
      </w:r>
    </w:p>
    <w:p w14:paraId="58F576F2">
      <w:pPr>
        <w:shd w:val="clear" w:color="auto" w:fill="FFFFFF"/>
        <w:spacing w:before="100" w:beforeAutospacing="1" w:after="0" w:line="273" w:lineRule="auto"/>
        <w:ind w:firstLine="720"/>
        <w:contextualSpacing/>
        <w:jc w:val="both"/>
        <w:rPr>
          <w:rFonts w:eastAsia="Times New Roman" w:cs="Times New Roman"/>
          <w:color w:val="000000"/>
          <w:szCs w:val="28"/>
        </w:rPr>
      </w:pPr>
      <w:r>
        <w:rPr>
          <w:rFonts w:eastAsia="Times New Roman" w:cs="Times New Roman"/>
          <w:color w:val="000000"/>
          <w:szCs w:val="28"/>
        </w:rPr>
        <w:t>Công tác đánh giá chuẩn tiếp cận pháp luật cơ bản được các ngành, các địa phương quan tâm, lãnh đạo, chỉ đạo  gắn với công tác chỉ đạo điều hành trong phát triển kinh tế xã hội ở huyện, gắn với xây dựng nông thôn mới và các Chương trình mục tiêu của xã, thị trấn. Đồng thời đây là một trong những tiêu chí gắn với xây dựng nông thôn mới, nông thôn mới nâng cao trên địa bàn huyện.</w:t>
      </w:r>
    </w:p>
    <w:p w14:paraId="51CDF811">
      <w:pPr>
        <w:numPr>
          <w:ilvl w:val="0"/>
          <w:numId w:val="2"/>
        </w:numPr>
        <w:shd w:val="clear" w:color="auto" w:fill="FFFFFF"/>
        <w:spacing w:before="120" w:beforeAutospacing="1" w:after="0" w:line="240" w:lineRule="atLeast"/>
        <w:contextualSpacing/>
        <w:jc w:val="both"/>
        <w:rPr>
          <w:rFonts w:eastAsia="Times New Roman" w:cs="Times New Roman"/>
          <w:color w:val="000000"/>
          <w:szCs w:val="28"/>
        </w:rPr>
      </w:pPr>
      <w:r>
        <w:rPr>
          <w:rFonts w:eastAsia="Times New Roman" w:cs="Times New Roman"/>
          <w:color w:val="000000"/>
          <w:szCs w:val="28"/>
        </w:rPr>
        <w:t>Khó khăn, hạn chế</w:t>
      </w:r>
    </w:p>
    <w:p w14:paraId="5F4554F4">
      <w:pPr>
        <w:shd w:val="clear" w:color="auto" w:fill="FFFFFF"/>
        <w:spacing w:before="120" w:beforeAutospacing="1" w:after="0" w:line="240" w:lineRule="atLeast"/>
        <w:ind w:firstLine="720"/>
        <w:contextualSpacing/>
        <w:jc w:val="both"/>
        <w:rPr>
          <w:rFonts w:eastAsia="Times New Roman" w:cs="Times New Roman"/>
          <w:color w:val="000000"/>
          <w:szCs w:val="28"/>
        </w:rPr>
      </w:pPr>
      <w:r>
        <w:rPr>
          <w:rFonts w:eastAsia="Times New Roman" w:cs="Times New Roman"/>
          <w:color w:val="000000"/>
          <w:szCs w:val="28"/>
        </w:rPr>
        <w:t>Công tác đánh giá chuẩn tiếp cận pháp luật đòi hỏi phải bám sát các nhiệm vụ, chỉ tiêu, trong khi điều kiện kinh tế-xã hội trên địa bàn huyện còn nhiều khó khăn, tỷ lệ hộ nghèo còn cao, góc độ tiếp cận pháp luật của người dân còn khó khăn, hạn chế.</w:t>
      </w:r>
    </w:p>
    <w:p w14:paraId="579693C7">
      <w:pPr>
        <w:shd w:val="clear" w:color="auto" w:fill="FFFFFF"/>
        <w:spacing w:after="0" w:line="240" w:lineRule="auto"/>
        <w:ind w:firstLine="709"/>
        <w:jc w:val="both"/>
        <w:rPr>
          <w:rFonts w:eastAsia="Times New Roman" w:cs="Times New Roman"/>
          <w:color w:val="000000"/>
          <w:szCs w:val="28"/>
        </w:rPr>
      </w:pPr>
      <w:r>
        <w:rPr>
          <w:rFonts w:eastAsia="Times New Roman" w:cs="Times New Roman"/>
          <w:color w:val="000000"/>
          <w:szCs w:val="28"/>
        </w:rPr>
        <w:t xml:space="preserve">Một số xã, thị trấn chưa tập trung đi sâu vào nhiệm vụ xây dựng xã, thị trấn đạt chuẩn tiếp cận pháp luật; có phân công và giao nhiệm vụ cho từng ngành từ đầu năm, tuy nhiên khi tổ chức đánh giá còn khoán trắng cho công chức Tư pháp- Hộ tịch chịu trách nhiệm, trong khi các tiêu chí, chỉ tiêu thì do nhiều ngành tham mưu, tổ chức thực hiện dẫn đến khó khăn khi đánh giá kết quả, nhiều địa phương các ngành liên quan không cung cấp hồ sơ chứng minh tiêu chí, chỉ tiêu thực hiện; hồ sơ cung cấp chưa đầy đủ, thiếu thống nhất hoặc không thực hiện. </w:t>
      </w:r>
    </w:p>
    <w:p w14:paraId="70DFCCEF">
      <w:pPr>
        <w:shd w:val="clear" w:color="auto" w:fill="FFFFFF"/>
        <w:spacing w:after="0" w:line="240" w:lineRule="auto"/>
        <w:ind w:firstLine="709"/>
        <w:jc w:val="both"/>
        <w:rPr>
          <w:rFonts w:eastAsia="Times New Roman" w:cs="Times New Roman"/>
          <w:color w:val="000000"/>
          <w:szCs w:val="28"/>
        </w:rPr>
      </w:pPr>
      <w:r>
        <w:rPr>
          <w:rFonts w:eastAsia="Times New Roman" w:cs="Times New Roman"/>
          <w:color w:val="000000"/>
          <w:szCs w:val="28"/>
        </w:rPr>
        <w:t>Cơ sở vật chất đảm bảo cho công tác xây dựng, đánh giá chuẩn tiếp cận pháp luật còn chưa đáp ứng được như kinh phí, cơ sở vật chất cho hoạt động tuyên truyền phổ biến giáo dục pháp luật, các thiết chế văn hóa ở cơ sở; công tác giám sát của Nhân dân đối với các hoạt động đầu tư hạ tầng còn hình thức, chưa phát huy việc thực hiện dân chủ ở cơ sở đặc biệt nhóm Tiêu chí số 4 không thực hiện một số chỉ tiêu theo quy định.</w:t>
      </w:r>
    </w:p>
    <w:p w14:paraId="6C56C3F8">
      <w:pPr>
        <w:spacing w:after="0" w:line="240" w:lineRule="auto"/>
        <w:ind w:firstLine="709"/>
      </w:pPr>
      <w:r>
        <w:t>* Nguyên nhân của khó khăn, hạn chế</w:t>
      </w:r>
    </w:p>
    <w:p w14:paraId="0D0E640B">
      <w:pPr>
        <w:shd w:val="clear" w:color="auto" w:fill="FFFFFF"/>
        <w:spacing w:after="0" w:line="240" w:lineRule="auto"/>
        <w:ind w:firstLine="709"/>
        <w:jc w:val="both"/>
        <w:rPr>
          <w:rFonts w:eastAsia="Times New Roman" w:cs="Times New Roman"/>
          <w:color w:val="000000"/>
          <w:szCs w:val="28"/>
        </w:rPr>
      </w:pPr>
      <w:r>
        <w:rPr>
          <w:rFonts w:eastAsia="Times New Roman" w:cs="Times New Roman"/>
          <w:color w:val="000000"/>
          <w:szCs w:val="28"/>
        </w:rPr>
        <w:t>- Việc đánh giá theo Quyết định số 25/2021/QĐ-TTg của Thủ tướng Chính phủ có nhiều điểm mới, nên công tác xây dựng, đánh giá còn nhiều khó khăn, vướng mắc.</w:t>
      </w:r>
    </w:p>
    <w:p w14:paraId="181A2B48">
      <w:pPr>
        <w:shd w:val="clear" w:color="auto" w:fill="FFFFFF"/>
        <w:spacing w:after="0" w:line="240" w:lineRule="auto"/>
        <w:ind w:firstLine="709"/>
        <w:jc w:val="both"/>
        <w:rPr>
          <w:rFonts w:eastAsia="Times New Roman" w:cs="Times New Roman"/>
          <w:color w:val="000000"/>
          <w:szCs w:val="28"/>
        </w:rPr>
      </w:pPr>
      <w:r>
        <w:rPr>
          <w:rFonts w:eastAsia="Times New Roman" w:cs="Times New Roman"/>
          <w:color w:val="000000"/>
          <w:szCs w:val="28"/>
        </w:rPr>
        <w:t>- Công tác lãnh chỉ đạo của một số địa phương chưa coi trọng công tác xây dựng xã, thị trấn đạt chuẩn TCPL.</w:t>
      </w:r>
    </w:p>
    <w:p w14:paraId="3377DCB4">
      <w:pPr>
        <w:shd w:val="clear" w:color="auto" w:fill="FFFFFF"/>
        <w:spacing w:after="0" w:line="240" w:lineRule="auto"/>
        <w:ind w:firstLine="709"/>
        <w:jc w:val="both"/>
        <w:rPr>
          <w:rFonts w:eastAsia="Times New Roman" w:cs="Times New Roman"/>
          <w:color w:val="000000"/>
          <w:szCs w:val="28"/>
        </w:rPr>
      </w:pPr>
      <w:r>
        <w:rPr>
          <w:rFonts w:eastAsia="Times New Roman" w:cs="Times New Roman"/>
          <w:color w:val="000000"/>
          <w:szCs w:val="28"/>
        </w:rPr>
        <w:tab/>
      </w:r>
      <w:r>
        <w:rPr>
          <w:rFonts w:eastAsia="Times New Roman" w:cs="Times New Roman"/>
          <w:color w:val="000000"/>
          <w:szCs w:val="28"/>
        </w:rPr>
        <w:t>- Công tác phối hợp của các ngành liên quan chưa có sự gắn kết, chất lượng, hiệu quả trong công tác xây dựng, đánh giá CTCPL chưa cao.</w:t>
      </w:r>
    </w:p>
    <w:p w14:paraId="3290410D">
      <w:pPr>
        <w:shd w:val="clear" w:color="auto" w:fill="FFFFFF"/>
        <w:spacing w:after="0" w:line="240" w:lineRule="auto"/>
        <w:ind w:firstLine="709"/>
        <w:jc w:val="both"/>
        <w:rPr>
          <w:rFonts w:eastAsia="Times New Roman" w:cs="Times New Roman"/>
          <w:color w:val="000000"/>
          <w:szCs w:val="28"/>
        </w:rPr>
      </w:pPr>
      <w:r>
        <w:rPr>
          <w:rFonts w:eastAsia="Times New Roman" w:cs="Times New Roman"/>
          <w:color w:val="000000"/>
          <w:szCs w:val="28"/>
        </w:rPr>
        <w:t>- Luật Thực hiện dân chủ ở cơ sở đã có hiệu lực, xong chưa phát huy được tinh thần, trách nhiệm của Nhân dân ở cơ sở đối với hoạt động giám sát, góp ý đối với chính quyền, tổ chức, cá nhân ở địa phương. Một số nội dung về thực hiện dân chủ ở cơ sở chưa được các xã, thị trấn thực hiện, đặc biệt ở nhóm chỉ tiêu của Tiêu chí 4</w:t>
      </w:r>
    </w:p>
    <w:p w14:paraId="45E78BF1">
      <w:pPr>
        <w:shd w:val="clear" w:color="auto" w:fill="FFFFFF"/>
        <w:spacing w:before="120" w:after="0" w:line="240" w:lineRule="atLeast"/>
        <w:ind w:firstLine="709"/>
        <w:jc w:val="both"/>
        <w:rPr>
          <w:rFonts w:eastAsia="Times New Roman" w:cs="Times New Roman"/>
          <w:color w:val="000000"/>
          <w:szCs w:val="28"/>
        </w:rPr>
      </w:pPr>
      <w:r>
        <w:rPr>
          <w:rFonts w:eastAsia="Times New Roman" w:cs="Times New Roman"/>
          <w:b/>
          <w:bCs/>
          <w:color w:val="000000"/>
          <w:szCs w:val="28"/>
        </w:rPr>
        <w:t>III. Kế hoạch, nhiệm vụ, giải pháp thực hiện năm 2025</w:t>
      </w:r>
    </w:p>
    <w:p w14:paraId="3FFA4225">
      <w:pPr>
        <w:numPr>
          <w:ilvl w:val="0"/>
          <w:numId w:val="3"/>
        </w:numPr>
        <w:shd w:val="clear" w:color="auto" w:fill="FFFFFF"/>
        <w:spacing w:before="100" w:beforeAutospacing="1" w:after="0" w:line="240" w:lineRule="atLeast"/>
        <w:contextualSpacing/>
        <w:jc w:val="both"/>
        <w:rPr>
          <w:rFonts w:eastAsia="Times New Roman" w:cs="Times New Roman"/>
          <w:color w:val="000000"/>
          <w:szCs w:val="28"/>
        </w:rPr>
      </w:pPr>
      <w:r>
        <w:rPr>
          <w:rFonts w:eastAsia="Times New Roman" w:cs="Times New Roman"/>
          <w:color w:val="000000"/>
          <w:szCs w:val="28"/>
        </w:rPr>
        <w:t>Mục tiêu thực hiện</w:t>
      </w:r>
    </w:p>
    <w:p w14:paraId="02BC384C">
      <w:pPr>
        <w:shd w:val="clear" w:color="auto" w:fill="FFFFFF"/>
        <w:spacing w:after="0" w:line="240" w:lineRule="auto"/>
        <w:ind w:firstLine="706"/>
        <w:jc w:val="both"/>
        <w:rPr>
          <w:rFonts w:eastAsia="Times New Roman" w:cs="Times New Roman"/>
          <w:color w:val="000000"/>
          <w:szCs w:val="28"/>
        </w:rPr>
      </w:pPr>
      <w:r>
        <w:rPr>
          <w:rFonts w:eastAsia="Times New Roman" w:cs="Times New Roman"/>
          <w:color w:val="000000"/>
          <w:szCs w:val="28"/>
        </w:rPr>
        <w:t>- Tiếp tục xây dựng 100 % xã, thị trấn đạt chuẩn tiếp cận pháp luật năm 2025.</w:t>
      </w:r>
    </w:p>
    <w:p w14:paraId="7085D261">
      <w:pPr>
        <w:shd w:val="clear" w:color="auto" w:fill="FFFFFF"/>
        <w:spacing w:after="0" w:line="240" w:lineRule="auto"/>
        <w:ind w:firstLine="706"/>
        <w:jc w:val="both"/>
        <w:rPr>
          <w:rFonts w:eastAsia="Times New Roman" w:cs="Times New Roman"/>
          <w:color w:val="000000"/>
          <w:szCs w:val="28"/>
        </w:rPr>
      </w:pPr>
      <w:r>
        <w:rPr>
          <w:rFonts w:eastAsia="Times New Roman" w:cs="Times New Roman"/>
          <w:color w:val="000000"/>
          <w:szCs w:val="28"/>
        </w:rPr>
        <w:t xml:space="preserve">- </w:t>
      </w:r>
      <w:r>
        <w:rPr>
          <w:rFonts w:eastAsia="Calibri" w:cs="Times New Roman"/>
          <w:bCs/>
          <w:iCs/>
          <w:color w:val="272727"/>
          <w:szCs w:val="28"/>
          <w:shd w:val="clear" w:color="auto" w:fill="FFFFFF"/>
        </w:rPr>
        <w:t>Xây dựng xã, thị trấn đạt chuẩn tiếp cận pháp luật gắn với Chương trình mục tiêu quốc gia xây dựng nông thôn mới để xây dựng xã đạt chuẩn nông thôn mới và nông thôn mới nâng cao.</w:t>
      </w:r>
    </w:p>
    <w:p w14:paraId="55B2E517">
      <w:pPr>
        <w:shd w:val="clear" w:color="auto" w:fill="FFFFFF"/>
        <w:spacing w:after="0" w:line="240" w:lineRule="auto"/>
        <w:ind w:firstLine="706"/>
        <w:jc w:val="both"/>
        <w:rPr>
          <w:rFonts w:eastAsia="Calibri" w:cs="Times New Roman"/>
          <w:bCs/>
          <w:iCs/>
          <w:color w:val="272727"/>
          <w:szCs w:val="28"/>
          <w:shd w:val="clear" w:color="auto" w:fill="FFFFFF"/>
        </w:rPr>
      </w:pPr>
      <w:r>
        <w:rPr>
          <w:rFonts w:eastAsia="Times New Roman" w:cs="Times New Roman"/>
          <w:color w:val="000000"/>
          <w:szCs w:val="28"/>
        </w:rPr>
        <w:t xml:space="preserve">- Gắn việc  </w:t>
      </w:r>
      <w:r>
        <w:rPr>
          <w:rFonts w:eastAsia="Calibri" w:cs="Times New Roman"/>
          <w:bCs/>
          <w:iCs/>
          <w:color w:val="272727"/>
          <w:szCs w:val="28"/>
          <w:shd w:val="clear" w:color="auto" w:fill="FFFFFF"/>
        </w:rPr>
        <w:t>xây dựng xã, thị trấn đạt chuẩn tiếp cận pháp luật với xây dựng nông thôn mới, cải thiện, nâng cao chất lượng đời sống văn hóa, pháp lý của người dân khu vực nông thôn miền núi.</w:t>
      </w:r>
    </w:p>
    <w:p w14:paraId="613FD53D">
      <w:pPr>
        <w:shd w:val="clear" w:color="auto" w:fill="FFFFFF"/>
        <w:spacing w:after="0" w:line="240" w:lineRule="auto"/>
        <w:ind w:firstLine="709"/>
        <w:jc w:val="both"/>
        <w:rPr>
          <w:rFonts w:eastAsia="Calibri" w:cs="Times New Roman"/>
          <w:bCs/>
          <w:iCs/>
          <w:color w:val="272727"/>
          <w:szCs w:val="28"/>
          <w:shd w:val="clear" w:color="auto" w:fill="FFFFFF"/>
        </w:rPr>
      </w:pPr>
      <w:r>
        <w:rPr>
          <w:rFonts w:eastAsia="Calibri" w:cs="Times New Roman"/>
          <w:bCs/>
          <w:iCs/>
          <w:color w:val="272727"/>
          <w:szCs w:val="28"/>
          <w:shd w:val="clear" w:color="auto" w:fill="FFFFFF"/>
        </w:rPr>
        <w:t>- Phấn đấu xây dựng các xã, thị trấn đạt chuẩn tiếp cận pháp luật, đảm bảo điều kiện, tiêu chí để hướng tới đề nghị công nhận huyện đạt chuẩn tiếp cận pháp luật.</w:t>
      </w:r>
    </w:p>
    <w:p w14:paraId="2AF5B78D">
      <w:pPr>
        <w:shd w:val="clear" w:color="auto" w:fill="FFFFFF"/>
        <w:spacing w:after="0" w:line="240" w:lineRule="auto"/>
        <w:ind w:firstLine="709"/>
        <w:jc w:val="both"/>
        <w:rPr>
          <w:rFonts w:eastAsia="Times New Roman" w:cs="Times New Roman"/>
          <w:color w:val="000000"/>
          <w:szCs w:val="28"/>
        </w:rPr>
      </w:pPr>
      <w:r>
        <w:rPr>
          <w:rFonts w:eastAsia="Times New Roman" w:cs="Times New Roman"/>
          <w:color w:val="000000"/>
          <w:szCs w:val="28"/>
        </w:rPr>
        <w:t>2. Nhiệm vụ, giải pháp thực hiện</w:t>
      </w:r>
    </w:p>
    <w:p w14:paraId="6EF2CBAD">
      <w:pPr>
        <w:spacing w:after="0" w:line="240" w:lineRule="auto"/>
        <w:ind w:firstLine="706"/>
        <w:jc w:val="both"/>
        <w:rPr>
          <w:rFonts w:eastAsia="Calibri" w:cs="Times New Roman"/>
          <w:color w:val="000000"/>
          <w:szCs w:val="28"/>
          <w:shd w:val="clear" w:color="auto" w:fill="FFFFFF"/>
        </w:rPr>
      </w:pPr>
      <w:r>
        <w:rPr>
          <w:rFonts w:eastAsia="Calibri" w:cs="Times New Roman"/>
          <w:color w:val="000000"/>
          <w:szCs w:val="28"/>
          <w:shd w:val="clear" w:color="auto" w:fill="FFFFFF"/>
        </w:rPr>
        <w:t>- Cần có sự quan tâm lãnh đạo, chỉ đạo thường xuyên, kịp thời của cấp ủy Đảng, Mặt trận, đoàn thể; chính quyền từ  huyện đến cơ sở.</w:t>
      </w:r>
    </w:p>
    <w:p w14:paraId="7232CD0D">
      <w:pPr>
        <w:spacing w:after="0" w:line="240" w:lineRule="auto"/>
        <w:ind w:firstLine="706"/>
        <w:jc w:val="both"/>
        <w:rPr>
          <w:rFonts w:eastAsia="Calibri" w:cs="Times New Roman"/>
          <w:color w:val="000000"/>
          <w:szCs w:val="28"/>
          <w:shd w:val="clear" w:color="auto" w:fill="FFFFFF"/>
        </w:rPr>
      </w:pPr>
      <w:r>
        <w:rPr>
          <w:rFonts w:eastAsia="Calibri" w:cs="Times New Roman"/>
          <w:color w:val="000000"/>
          <w:szCs w:val="28"/>
          <w:shd w:val="clear" w:color="auto" w:fill="FFFFFF"/>
        </w:rPr>
        <w:t xml:space="preserve">- Tổ chức tập huấn cho các xã, thị trấn trong xây dựng cấp xã đạt chuẩn tiếp cận; kiểm tra giám sát qua đó kịp thời khắc phục hạn chế thiếu sót. </w:t>
      </w:r>
    </w:p>
    <w:p w14:paraId="482B432D">
      <w:pPr>
        <w:spacing w:after="0" w:line="240" w:lineRule="auto"/>
        <w:ind w:firstLine="706"/>
        <w:jc w:val="both"/>
        <w:rPr>
          <w:rFonts w:eastAsia="Calibri" w:cs="Times New Roman"/>
          <w:color w:val="000000"/>
          <w:szCs w:val="28"/>
          <w:shd w:val="clear" w:color="auto" w:fill="FFFFFF"/>
        </w:rPr>
      </w:pPr>
      <w:r>
        <w:rPr>
          <w:rFonts w:eastAsia="Calibri" w:cs="Times New Roman"/>
          <w:color w:val="000000"/>
          <w:szCs w:val="28"/>
          <w:shd w:val="clear" w:color="auto" w:fill="FFFFFF"/>
        </w:rPr>
        <w:t>- Phát huy vai trò của Nhân dân trong giám sát các hoạt động của chính quyền, tổ chức, cá nhân trong công tác quản lý nhà nước ở cơ sở và các hoạt động đầu tư xây dựng cơ sở hạ tầng ở địa phương.</w:t>
      </w:r>
    </w:p>
    <w:p w14:paraId="4797FCBB">
      <w:pPr>
        <w:spacing w:after="0" w:line="240" w:lineRule="auto"/>
        <w:ind w:firstLine="706"/>
        <w:jc w:val="both"/>
        <w:rPr>
          <w:rFonts w:eastAsia="Calibri" w:cs="Times New Roman"/>
          <w:color w:val="000000"/>
          <w:szCs w:val="28"/>
          <w:shd w:val="clear" w:color="auto" w:fill="FFFFFF"/>
        </w:rPr>
      </w:pPr>
      <w:r>
        <w:rPr>
          <w:rFonts w:eastAsia="Calibri" w:cs="Times New Roman"/>
          <w:color w:val="000000"/>
          <w:szCs w:val="28"/>
          <w:shd w:val="clear" w:color="auto" w:fill="FFFFFF"/>
        </w:rPr>
        <w:t>- Tăng cường công tác tuyên truyền, phổ biến quán triệt quan điểm, chủ trương của Đảng, chính sách, pháp luật của Nhà nước đến cơ sở nâng cao nhận thức, trách nhiệm của hệ thống chính trị địa phương và mọi tầng lớp nhân dân về vị trí, vai trò, ý nghĩa của công tác xây dựng đánh giá chuẩn tiếp cận pháp luật.</w:t>
      </w:r>
    </w:p>
    <w:p w14:paraId="511A2FB9">
      <w:pPr>
        <w:spacing w:after="0" w:line="240" w:lineRule="auto"/>
        <w:ind w:firstLine="709"/>
        <w:jc w:val="both"/>
        <w:rPr>
          <w:rFonts w:eastAsia="Calibri" w:cs="Times New Roman"/>
          <w:color w:val="000000"/>
          <w:szCs w:val="28"/>
          <w:shd w:val="clear" w:color="auto" w:fill="FFFFFF"/>
        </w:rPr>
      </w:pPr>
      <w:r>
        <w:rPr>
          <w:rFonts w:eastAsia="Calibri" w:cs="Times New Roman"/>
          <w:color w:val="000000"/>
          <w:szCs w:val="28"/>
          <w:shd w:val="clear" w:color="auto" w:fill="FFFFFF"/>
        </w:rPr>
        <w:t xml:space="preserve">- Nâng cao hiệu lực, hiệu quả quản lý nhà nước; phát huy vai trò, trách nhiệm của đội ngũ cán bộ, công chức  tham mưu xây dựng, đánh giá chuẩn tiếp cận pháp luật, đặc biệt là vai trò nòng cốt, đầu mối của công chức Tư pháp - Hộ tịch cấp xã. </w:t>
      </w:r>
      <w:r>
        <w:rPr>
          <w:rFonts w:eastAsia="Calibri" w:cs="Times New Roman"/>
          <w:color w:val="000000"/>
          <w:szCs w:val="28"/>
          <w:shd w:val="clear" w:color="auto" w:fill="FFFFFF"/>
        </w:rPr>
        <w:tab/>
      </w:r>
      <w:r>
        <w:rPr>
          <w:rFonts w:eastAsia="Calibri" w:cs="Times New Roman"/>
          <w:color w:val="000000"/>
          <w:szCs w:val="28"/>
          <w:shd w:val="clear" w:color="auto" w:fill="FFFFFF"/>
        </w:rPr>
        <w:t xml:space="preserve">Thường xuyên theo dõi, nắm chắc tình hình, hoạt động để chủ động, linh hoạt tham mưu, đề xuất với lãnh đạo chính quyền lãnh đạo, chỉ đạo phù hợp, sát thực tiễn, đáp ứng kịp thời yêu cầu nhiệm vụ, đảm bảo đúng quy định pháp luật. Phát huy vai trò nòng cốt của Mặt trận Tổ quốc và các tổ chức thành viên của Mặt trận ở địa phương trong việc phối hợp thực hiện tốt công tác xây dựng chuẩn tiếp cận pháp luật, trong đó phối hợp tuyên truyền phổ biến, vận động Nhân dân chấp hành pháp luật lấy ý kiến đánh giá, xác nhận mô hình tuyên truyền phổ biến giáo dục pháp luật có hiệu quả và thực hiện các nhiệm vụ giám sát theo quy định của pháp luật.  </w:t>
      </w:r>
    </w:p>
    <w:p w14:paraId="2C5F18BA">
      <w:pPr>
        <w:shd w:val="clear" w:color="auto" w:fill="FFFFFF"/>
        <w:spacing w:before="120" w:after="0" w:line="240" w:lineRule="auto"/>
        <w:ind w:firstLine="706"/>
        <w:jc w:val="both"/>
        <w:rPr>
          <w:rFonts w:eastAsia="Times New Roman" w:cs="Times New Roman"/>
          <w:b/>
          <w:bCs/>
          <w:color w:val="000000"/>
          <w:szCs w:val="28"/>
        </w:rPr>
      </w:pPr>
      <w:r>
        <w:rPr>
          <w:rFonts w:eastAsia="Times New Roman" w:cs="Times New Roman"/>
          <w:b/>
          <w:bCs/>
          <w:color w:val="000000"/>
          <w:szCs w:val="28"/>
        </w:rPr>
        <w:t>IV. Kiến nghị, đề xuất</w:t>
      </w:r>
    </w:p>
    <w:p w14:paraId="10E99859">
      <w:pPr>
        <w:shd w:val="clear" w:color="auto" w:fill="FFFFFF"/>
        <w:spacing w:after="0" w:line="240" w:lineRule="auto"/>
        <w:ind w:firstLine="706"/>
        <w:jc w:val="both"/>
        <w:rPr>
          <w:rFonts w:eastAsia="Times New Roman" w:cs="Times New Roman"/>
          <w:bCs/>
          <w:color w:val="000000"/>
          <w:szCs w:val="28"/>
        </w:rPr>
      </w:pPr>
      <w:r>
        <w:rPr>
          <w:rFonts w:eastAsia="Times New Roman" w:cs="Times New Roman"/>
          <w:bCs/>
          <w:color w:val="000000"/>
          <w:szCs w:val="28"/>
        </w:rPr>
        <w:t>1. Đối với các xã, thị trấn trên địa bàn huyện: cần nâng cao vai trò trách nhiệm trong công tác chỉ đạo điều hành thực hiện các nhiệm vụ phát triển kinh tế- xã hội ở địa phương, bám sát việc xây dựng nông thôn mới gắn với xây dựng xã, thị trấn đạt chuẩn tiếp cận pháp luật hàng năm. Coi trọng công tác đánh giá chuẩn tiếp cận pháp luật gắn với thực hiện các Chương trình mục tiêu trong xây dựng nông thôn mới.</w:t>
      </w:r>
    </w:p>
    <w:p w14:paraId="604C4DCC">
      <w:pPr>
        <w:shd w:val="clear" w:color="auto" w:fill="FFFFFF"/>
        <w:spacing w:before="120" w:after="0" w:line="240" w:lineRule="auto"/>
        <w:ind w:firstLine="720"/>
        <w:jc w:val="both"/>
        <w:rPr>
          <w:rFonts w:eastAsia="Times New Roman" w:cs="Times New Roman"/>
          <w:bCs/>
          <w:color w:val="000000"/>
          <w:szCs w:val="28"/>
        </w:rPr>
      </w:pPr>
      <w:r>
        <w:rPr>
          <w:rFonts w:eastAsia="Times New Roman" w:cs="Times New Roman"/>
          <w:bCs/>
          <w:color w:val="000000"/>
          <w:szCs w:val="28"/>
        </w:rPr>
        <w:t xml:space="preserve">2. Đối với tỉnh: </w:t>
      </w:r>
    </w:p>
    <w:p w14:paraId="0DF23722">
      <w:pPr>
        <w:shd w:val="clear" w:color="auto" w:fill="FFFFFF"/>
        <w:spacing w:after="0" w:line="240" w:lineRule="auto"/>
        <w:ind w:firstLine="720"/>
        <w:jc w:val="both"/>
        <w:rPr>
          <w:rFonts w:eastAsia="Times New Roman" w:cs="Times New Roman"/>
          <w:bCs/>
          <w:color w:val="000000"/>
          <w:szCs w:val="28"/>
        </w:rPr>
      </w:pPr>
      <w:r>
        <w:rPr>
          <w:rFonts w:eastAsia="Times New Roman" w:cs="Times New Roman"/>
          <w:bCs/>
          <w:color w:val="000000"/>
          <w:szCs w:val="28"/>
        </w:rPr>
        <w:t>- Đề nghị Sở Tư pháp tỉnh thường xuyên hướng dẫn, tổ chức tập huấn chuyên sâu về công tác xây dựng, đánh giá chuẩn tiếp cận pháp luật cho cơ sở để nâng cao năng lực chuyên môn cho cán bộ, công chức tham mưu trong lĩnh vực này; tổ chức tham quan học tập kinh nghiệm để nâng cao nghiệp vụ, học tập trong quán trình triển khai xây dựng, đánh giá chuẩn tiếp cận pháp luật.</w:t>
      </w:r>
    </w:p>
    <w:p w14:paraId="00C16763">
      <w:pPr>
        <w:shd w:val="clear" w:color="auto" w:fill="FFFFFF"/>
        <w:spacing w:after="0" w:line="240" w:lineRule="auto"/>
        <w:ind w:firstLine="720"/>
        <w:jc w:val="both"/>
        <w:rPr>
          <w:rFonts w:eastAsia="Times New Roman" w:cs="Times New Roman"/>
          <w:bCs/>
          <w:color w:val="000000"/>
          <w:szCs w:val="28"/>
        </w:rPr>
      </w:pPr>
      <w:r>
        <w:rPr>
          <w:rFonts w:eastAsia="Times New Roman" w:cs="Times New Roman"/>
          <w:bCs/>
          <w:color w:val="000000"/>
          <w:szCs w:val="28"/>
        </w:rPr>
        <w:t>- Kiến nghị Bộ Tư pháp sửa đổi, bỏ chỉ tiêu 1 của Tiêu chí 1(nội dung ban hành văn bản QPPL)</w:t>
      </w:r>
    </w:p>
    <w:p w14:paraId="4BB7CB05">
      <w:pPr>
        <w:shd w:val="clear" w:color="auto" w:fill="FFFFFF"/>
        <w:spacing w:before="120" w:after="120" w:line="240" w:lineRule="atLeast"/>
        <w:ind w:firstLine="709"/>
        <w:jc w:val="both"/>
        <w:rPr>
          <w:rFonts w:eastAsia="Times New Roman" w:cs="Times New Roman"/>
          <w:bCs/>
          <w:color w:val="000000"/>
          <w:szCs w:val="28"/>
        </w:rPr>
      </w:pPr>
      <w:r>
        <w:rPr>
          <w:rFonts w:eastAsia="Times New Roman" w:cs="Times New Roman"/>
          <w:bCs/>
          <w:color w:val="000000"/>
          <w:szCs w:val="28"/>
        </w:rPr>
        <w:t>Trên đây là báo cáo xây dựng, đánh giá chuẩn tiếp cận pháp luật năm 2024, và nhiệm vụ giải pháp năm 2024 trên địa bàn huyện Đông Giang./.</w:t>
      </w:r>
    </w:p>
    <w:p w14:paraId="52ED0B2D">
      <w:pPr>
        <w:shd w:val="clear" w:color="auto" w:fill="FFFFFF"/>
        <w:spacing w:before="120" w:after="120" w:line="240" w:lineRule="atLeast"/>
        <w:ind w:firstLine="709"/>
        <w:jc w:val="both"/>
        <w:rPr>
          <w:rFonts w:eastAsia="Times New Roman" w:cs="Times New Roman"/>
          <w:bCs/>
          <w:color w:val="000000"/>
          <w:szCs w:val="28"/>
        </w:rPr>
      </w:pPr>
    </w:p>
    <w:tbl>
      <w:tblPr>
        <w:tblStyle w:val="5"/>
        <w:tblW w:w="9738" w:type="dxa"/>
        <w:tblInd w:w="0" w:type="dxa"/>
        <w:tblLayout w:type="autofit"/>
        <w:tblCellMar>
          <w:top w:w="0" w:type="dxa"/>
          <w:left w:w="0" w:type="dxa"/>
          <w:bottom w:w="0" w:type="dxa"/>
          <w:right w:w="0" w:type="dxa"/>
        </w:tblCellMar>
      </w:tblPr>
      <w:tblGrid>
        <w:gridCol w:w="3421"/>
        <w:gridCol w:w="6317"/>
      </w:tblGrid>
      <w:tr w14:paraId="00EB3CC5">
        <w:tblPrEx>
          <w:tblCellMar>
            <w:top w:w="0" w:type="dxa"/>
            <w:left w:w="0" w:type="dxa"/>
            <w:bottom w:w="0" w:type="dxa"/>
            <w:right w:w="0" w:type="dxa"/>
          </w:tblCellMar>
        </w:tblPrEx>
        <w:trPr>
          <w:trHeight w:val="1572" w:hRule="atLeast"/>
        </w:trPr>
        <w:tc>
          <w:tcPr>
            <w:tcW w:w="3421" w:type="dxa"/>
            <w:tcBorders>
              <w:top w:val="nil"/>
              <w:left w:val="nil"/>
              <w:bottom w:val="nil"/>
              <w:right w:val="nil"/>
            </w:tcBorders>
            <w:shd w:val="clear" w:color="auto" w:fill="FFFFFF"/>
            <w:tcMar>
              <w:top w:w="0" w:type="dxa"/>
              <w:left w:w="108" w:type="dxa"/>
              <w:bottom w:w="0" w:type="dxa"/>
              <w:right w:w="108" w:type="dxa"/>
            </w:tcMar>
          </w:tcPr>
          <w:p w14:paraId="2315957E">
            <w:pPr>
              <w:spacing w:after="0" w:line="240" w:lineRule="auto"/>
              <w:rPr>
                <w:rFonts w:eastAsia="Times New Roman" w:cs="Times New Roman"/>
                <w:color w:val="000000"/>
                <w:sz w:val="24"/>
                <w:szCs w:val="24"/>
              </w:rPr>
            </w:pPr>
            <w:r>
              <w:rPr>
                <w:rFonts w:eastAsia="Times New Roman" w:cs="Times New Roman"/>
                <w:b/>
                <w:bCs/>
                <w:i/>
                <w:iCs/>
                <w:color w:val="000000"/>
                <w:sz w:val="24"/>
                <w:szCs w:val="24"/>
              </w:rPr>
              <w:t>Nơi nhận:</w:t>
            </w:r>
            <w:r>
              <w:rPr>
                <w:rFonts w:eastAsia="Times New Roman" w:cs="Times New Roman"/>
                <w:b/>
                <w:bCs/>
                <w:i/>
                <w:iCs/>
                <w:color w:val="000000"/>
                <w:sz w:val="24"/>
                <w:szCs w:val="24"/>
              </w:rPr>
              <w:br w:type="textWrapping"/>
            </w:r>
            <w:r>
              <w:rPr>
                <w:rFonts w:eastAsia="Times New Roman" w:cs="Times New Roman"/>
                <w:color w:val="000000"/>
                <w:sz w:val="24"/>
                <w:szCs w:val="24"/>
              </w:rPr>
              <w:t>- Sở Tư pháp tỉnh Q.Nam;</w:t>
            </w:r>
          </w:p>
          <w:p w14:paraId="53AC50FA">
            <w:pPr>
              <w:spacing w:after="0" w:line="240" w:lineRule="auto"/>
              <w:rPr>
                <w:rFonts w:eastAsia="Times New Roman" w:cs="Times New Roman"/>
                <w:color w:val="000000"/>
                <w:sz w:val="24"/>
                <w:szCs w:val="24"/>
              </w:rPr>
            </w:pPr>
            <w:r>
              <w:rPr>
                <w:rFonts w:eastAsia="Times New Roman" w:cs="Times New Roman"/>
                <w:color w:val="000000"/>
                <w:sz w:val="24"/>
                <w:szCs w:val="24"/>
              </w:rPr>
              <w:t>- CT, PCT HĐ ĐGCTCP;</w:t>
            </w:r>
          </w:p>
          <w:p w14:paraId="145759B7">
            <w:pPr>
              <w:spacing w:after="0" w:line="240" w:lineRule="auto"/>
              <w:rPr>
                <w:rFonts w:eastAsia="Times New Roman" w:cs="Times New Roman"/>
                <w:color w:val="000000"/>
                <w:sz w:val="24"/>
                <w:szCs w:val="24"/>
              </w:rPr>
            </w:pPr>
            <w:r>
              <w:rPr>
                <w:rFonts w:eastAsia="Times New Roman" w:cs="Times New Roman"/>
                <w:color w:val="000000"/>
                <w:sz w:val="24"/>
                <w:szCs w:val="24"/>
              </w:rPr>
              <w:t>- Các thành viên HĐ ĐGCTCPL;</w:t>
            </w:r>
          </w:p>
          <w:p w14:paraId="27A74770">
            <w:pPr>
              <w:spacing w:after="0" w:line="240" w:lineRule="auto"/>
              <w:rPr>
                <w:rFonts w:eastAsia="Times New Roman" w:cs="Times New Roman"/>
                <w:color w:val="000000"/>
                <w:szCs w:val="28"/>
              </w:rPr>
            </w:pPr>
            <w:r>
              <w:rPr>
                <w:rFonts w:eastAsia="Times New Roman" w:cs="Times New Roman"/>
                <w:color w:val="000000"/>
                <w:sz w:val="24"/>
                <w:szCs w:val="24"/>
              </w:rPr>
              <w:t>- UBND các xã, thị trấn;</w:t>
            </w:r>
            <w:r>
              <w:rPr>
                <w:rFonts w:eastAsia="Times New Roman" w:cs="Times New Roman"/>
                <w:color w:val="000000"/>
                <w:sz w:val="24"/>
                <w:szCs w:val="24"/>
              </w:rPr>
              <w:br w:type="textWrapping"/>
            </w:r>
            <w:r>
              <w:rPr>
                <w:rFonts w:eastAsia="Times New Roman" w:cs="Times New Roman"/>
                <w:color w:val="000000"/>
                <w:sz w:val="24"/>
                <w:szCs w:val="24"/>
              </w:rPr>
              <w:t>- Lưu: VT-HĐ</w:t>
            </w:r>
          </w:p>
        </w:tc>
        <w:tc>
          <w:tcPr>
            <w:tcW w:w="6317" w:type="dxa"/>
            <w:tcBorders>
              <w:top w:val="nil"/>
              <w:left w:val="nil"/>
              <w:bottom w:val="nil"/>
              <w:right w:val="nil"/>
            </w:tcBorders>
            <w:shd w:val="clear" w:color="auto" w:fill="FFFFFF"/>
            <w:tcMar>
              <w:top w:w="0" w:type="dxa"/>
              <w:left w:w="108" w:type="dxa"/>
              <w:bottom w:w="0" w:type="dxa"/>
              <w:right w:w="108" w:type="dxa"/>
            </w:tcMar>
          </w:tcPr>
          <w:p w14:paraId="1CDC6AC6">
            <w:pPr>
              <w:spacing w:after="0" w:line="240" w:lineRule="auto"/>
              <w:jc w:val="center"/>
              <w:rPr>
                <w:rFonts w:eastAsia="Times New Roman" w:cs="Times New Roman"/>
                <w:b/>
                <w:bCs/>
                <w:color w:val="000000"/>
                <w:szCs w:val="28"/>
              </w:rPr>
            </w:pPr>
            <w:r>
              <w:rPr>
                <w:rFonts w:eastAsia="Times New Roman" w:cs="Times New Roman"/>
                <w:b/>
                <w:bCs/>
                <w:color w:val="000000"/>
                <w:szCs w:val="28"/>
              </w:rPr>
              <w:t>KT.CHỦ TỊCH</w:t>
            </w:r>
          </w:p>
          <w:p w14:paraId="751AEB09">
            <w:pPr>
              <w:spacing w:after="0" w:line="240" w:lineRule="auto"/>
              <w:jc w:val="center"/>
              <w:rPr>
                <w:rFonts w:eastAsia="Times New Roman" w:cs="Times New Roman"/>
                <w:color w:val="000000"/>
                <w:szCs w:val="28"/>
              </w:rPr>
            </w:pPr>
            <w:r>
              <w:rPr>
                <w:rFonts w:eastAsia="Times New Roman" w:cs="Times New Roman"/>
                <w:b/>
                <w:bCs/>
                <w:color w:val="000000"/>
                <w:szCs w:val="28"/>
              </w:rPr>
              <w:t>PHÓ CHỦ TỊCH</w:t>
            </w:r>
            <w:r>
              <w:rPr>
                <w:rFonts w:eastAsia="Times New Roman" w:cs="Times New Roman"/>
                <w:b/>
                <w:bCs/>
                <w:color w:val="000000"/>
                <w:szCs w:val="28"/>
              </w:rPr>
              <w:br w:type="textWrapping"/>
            </w:r>
          </w:p>
          <w:p w14:paraId="177FE6A2">
            <w:pPr>
              <w:spacing w:before="120" w:after="240" w:line="240" w:lineRule="atLeast"/>
              <w:jc w:val="center"/>
              <w:rPr>
                <w:rFonts w:eastAsia="Times New Roman" w:cs="Times New Roman"/>
                <w:b/>
                <w:color w:val="000000"/>
                <w:szCs w:val="28"/>
              </w:rPr>
            </w:pPr>
          </w:p>
          <w:p w14:paraId="27A0D651">
            <w:pPr>
              <w:spacing w:before="120" w:after="240" w:line="240" w:lineRule="atLeast"/>
              <w:jc w:val="center"/>
              <w:rPr>
                <w:rFonts w:eastAsia="Times New Roman" w:cs="Times New Roman"/>
                <w:b/>
                <w:color w:val="000000"/>
                <w:szCs w:val="28"/>
              </w:rPr>
            </w:pPr>
            <w:r>
              <w:rPr>
                <w:rFonts w:eastAsia="Times New Roman" w:cs="Times New Roman"/>
                <w:b/>
                <w:color w:val="000000"/>
                <w:szCs w:val="28"/>
              </w:rPr>
              <w:t>#ChuKyLanhDao</w:t>
            </w:r>
          </w:p>
        </w:tc>
      </w:tr>
    </w:tbl>
    <w:p w14:paraId="0435C642">
      <w:pPr>
        <w:shd w:val="clear" w:color="auto" w:fill="FFFFFF"/>
        <w:spacing w:before="120" w:after="120" w:line="240" w:lineRule="atLeast"/>
        <w:rPr>
          <w:rFonts w:eastAsia="Calibri" w:cs="Times New Roman"/>
          <w:szCs w:val="28"/>
        </w:rPr>
      </w:pPr>
    </w:p>
    <w:p w14:paraId="21A3FBAD">
      <w:pPr>
        <w:spacing w:before="100" w:beforeAutospacing="1" w:line="273" w:lineRule="auto"/>
        <w:rPr>
          <w:rFonts w:eastAsia="Calibri" w:cs="Times New Roman"/>
          <w:sz w:val="22"/>
        </w:rPr>
      </w:pPr>
      <w:r>
        <w:rPr>
          <w:rFonts w:eastAsia="Calibri" w:cs="Times New Roman"/>
          <w:sz w:val="22"/>
        </w:rPr>
        <w:t xml:space="preserve"> </w:t>
      </w:r>
    </w:p>
    <w:p w14:paraId="313D1F22">
      <w:pPr>
        <w:spacing w:before="100" w:beforeAutospacing="1" w:line="273" w:lineRule="auto"/>
        <w:rPr>
          <w:rFonts w:ascii="Calibri" w:hAnsi="Calibri" w:eastAsia="Times New Roman" w:cs="Times New Roman"/>
          <w:sz w:val="22"/>
        </w:rPr>
      </w:pPr>
      <w:r>
        <w:rPr>
          <w:rFonts w:ascii="Calibri" w:hAnsi="Calibri" w:eastAsia="Times New Roman" w:cs="Times New Roman"/>
          <w:sz w:val="22"/>
        </w:rPr>
        <w:t xml:space="preserve"> </w:t>
      </w:r>
    </w:p>
    <w:p w14:paraId="2D64E2FB"/>
    <w:sectPr>
      <w:headerReference r:id="rId5" w:type="default"/>
      <w:pgSz w:w="11907" w:h="16840"/>
      <w:pgMar w:top="1134" w:right="1134" w:bottom="1134" w:left="1701" w:header="720" w:footer="720" w:gutter="0"/>
      <w:cols w:space="720"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08498">
    <w:pPr>
      <w:pStyle w:val="8"/>
    </w:pPr>
    <w:r>
      <mc:AlternateContent>
        <mc:Choice Requires="wps">
          <w:drawing>
            <wp:anchor distT="0" distB="0" distL="114300" distR="114300" simplePos="0" relativeHeight="251659264" behindDoc="0" locked="0" layoutInCell="1" allowOverlap="1">
              <wp:simplePos x="0" y="0"/>
              <wp:positionH relativeFrom="margin">
                <wp:posOffset>2874645</wp:posOffset>
              </wp:positionH>
              <wp:positionV relativeFrom="paragraph">
                <wp:posOffset>5080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B9EEDF">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6.35pt;margin-top:0.4pt;height:144pt;width:144pt;mso-position-horizontal-relative:margin;mso-wrap-style:none;z-index:251659264;mso-width-relative:page;mso-height-relative:page;" filled="f" stroked="f" coordsize="21600,21600" o:gfxdata="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XP2V3VAAAACAEAAA8A&#10;AAAAAAAAAQAgAAAAIgAAAGRycy9kb3ducmV2LnhtbFBLAQIUABQAAAAIAIdO4kCcUReoGgIAAFQE&#10;AAAOAAAAAAAAAAEAIAAAACQBAABkcnMvZTJvRG9jLnhtbFBLBQYAAAAABgAGAFkBAACwBQAAAAA=&#10;">
              <v:fill on="f" focussize="0,0"/>
              <v:stroke on="f" weight="0.5pt"/>
              <v:imagedata o:title=""/>
              <o:lock v:ext="edit" aspectratio="f"/>
              <v:textbox inset="0mm,0mm,0mm,0mm" style="mso-fit-shape-to-text:t;">
                <w:txbxContent>
                  <w:p w14:paraId="33B9EEDF">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D59871"/>
    <w:multiLevelType w:val="singleLevel"/>
    <w:tmpl w:val="CED59871"/>
    <w:lvl w:ilvl="0" w:tentative="0">
      <w:start w:val="3"/>
      <w:numFmt w:val="decimal"/>
      <w:suff w:val="space"/>
      <w:lvlText w:val="%1."/>
      <w:lvlJc w:val="left"/>
    </w:lvl>
  </w:abstractNum>
  <w:abstractNum w:abstractNumId="1">
    <w:nsid w:val="1EED2329"/>
    <w:multiLevelType w:val="multilevel"/>
    <w:tmpl w:val="1EED2329"/>
    <w:lvl w:ilvl="0" w:tentative="0">
      <w:start w:val="1"/>
      <w:numFmt w:val="decimal"/>
      <w:lvlText w:val="%1."/>
      <w:lvlJc w:val="left"/>
      <w:pPr>
        <w:ind w:left="1069" w:hanging="360"/>
      </w:pPr>
      <w:rPr>
        <w:rFonts w:hint="default" w:ascii="Times New Roman" w:hAnsi="Times New Roman" w:cs="Times New Roman"/>
      </w:rPr>
    </w:lvl>
    <w:lvl w:ilvl="1" w:tentative="0">
      <w:start w:val="1"/>
      <w:numFmt w:val="lowerLetter"/>
      <w:lvlText w:val="%2."/>
      <w:lvlJc w:val="left"/>
      <w:pPr>
        <w:ind w:left="1789" w:hanging="360"/>
      </w:pPr>
      <w:rPr>
        <w:rFonts w:hint="default" w:ascii="Times New Roman" w:hAnsi="Times New Roman" w:cs="Times New Roman"/>
      </w:rPr>
    </w:lvl>
    <w:lvl w:ilvl="2" w:tentative="0">
      <w:start w:val="1"/>
      <w:numFmt w:val="lowerRoman"/>
      <w:lvlText w:val="%3."/>
      <w:lvlJc w:val="right"/>
      <w:pPr>
        <w:ind w:left="2509" w:hanging="180"/>
      </w:pPr>
      <w:rPr>
        <w:rFonts w:hint="default" w:ascii="Times New Roman" w:hAnsi="Times New Roman" w:cs="Times New Roman"/>
      </w:rPr>
    </w:lvl>
    <w:lvl w:ilvl="3" w:tentative="0">
      <w:start w:val="1"/>
      <w:numFmt w:val="decimal"/>
      <w:lvlText w:val="%4."/>
      <w:lvlJc w:val="left"/>
      <w:pPr>
        <w:ind w:left="3229" w:hanging="360"/>
      </w:pPr>
      <w:rPr>
        <w:rFonts w:hint="default" w:ascii="Times New Roman" w:hAnsi="Times New Roman" w:cs="Times New Roman"/>
      </w:rPr>
    </w:lvl>
    <w:lvl w:ilvl="4" w:tentative="0">
      <w:start w:val="1"/>
      <w:numFmt w:val="lowerLetter"/>
      <w:lvlText w:val="%5."/>
      <w:lvlJc w:val="left"/>
      <w:pPr>
        <w:ind w:left="3949" w:hanging="360"/>
      </w:pPr>
      <w:rPr>
        <w:rFonts w:hint="default" w:ascii="Times New Roman" w:hAnsi="Times New Roman" w:cs="Times New Roman"/>
      </w:rPr>
    </w:lvl>
    <w:lvl w:ilvl="5" w:tentative="0">
      <w:start w:val="1"/>
      <w:numFmt w:val="lowerRoman"/>
      <w:lvlText w:val="%6."/>
      <w:lvlJc w:val="right"/>
      <w:pPr>
        <w:ind w:left="4669" w:hanging="180"/>
      </w:pPr>
      <w:rPr>
        <w:rFonts w:hint="default" w:ascii="Times New Roman" w:hAnsi="Times New Roman" w:cs="Times New Roman"/>
      </w:rPr>
    </w:lvl>
    <w:lvl w:ilvl="6" w:tentative="0">
      <w:start w:val="1"/>
      <w:numFmt w:val="decimal"/>
      <w:lvlText w:val="%7."/>
      <w:lvlJc w:val="left"/>
      <w:pPr>
        <w:ind w:left="5389" w:hanging="360"/>
      </w:pPr>
      <w:rPr>
        <w:rFonts w:hint="default" w:ascii="Times New Roman" w:hAnsi="Times New Roman" w:cs="Times New Roman"/>
      </w:rPr>
    </w:lvl>
    <w:lvl w:ilvl="7" w:tentative="0">
      <w:start w:val="1"/>
      <w:numFmt w:val="lowerLetter"/>
      <w:lvlText w:val="%8."/>
      <w:lvlJc w:val="left"/>
      <w:pPr>
        <w:ind w:left="6109" w:hanging="360"/>
      </w:pPr>
      <w:rPr>
        <w:rFonts w:hint="default" w:ascii="Times New Roman" w:hAnsi="Times New Roman" w:cs="Times New Roman"/>
      </w:rPr>
    </w:lvl>
    <w:lvl w:ilvl="8" w:tentative="0">
      <w:start w:val="1"/>
      <w:numFmt w:val="lowerRoman"/>
      <w:lvlText w:val="%9."/>
      <w:lvlJc w:val="right"/>
      <w:pPr>
        <w:ind w:left="6829" w:hanging="180"/>
      </w:pPr>
      <w:rPr>
        <w:rFonts w:hint="default" w:ascii="Times New Roman" w:hAnsi="Times New Roman" w:cs="Times New Roman"/>
      </w:rPr>
    </w:lvl>
  </w:abstractNum>
  <w:abstractNum w:abstractNumId="2">
    <w:nsid w:val="751A46B1"/>
    <w:multiLevelType w:val="multilevel"/>
    <w:tmpl w:val="751A46B1"/>
    <w:lvl w:ilvl="0" w:tentative="0">
      <w:start w:val="1"/>
      <w:numFmt w:val="decimal"/>
      <w:lvlText w:val="%1."/>
      <w:lvlJc w:val="left"/>
      <w:pPr>
        <w:ind w:left="1069" w:hanging="360"/>
      </w:pPr>
      <w:rPr>
        <w:rFonts w:hint="default" w:ascii="Times New Roman" w:hAnsi="Times New Roman" w:cs="Times New Roman"/>
      </w:rPr>
    </w:lvl>
    <w:lvl w:ilvl="1" w:tentative="0">
      <w:start w:val="1"/>
      <w:numFmt w:val="lowerLetter"/>
      <w:lvlText w:val="%2."/>
      <w:lvlJc w:val="left"/>
      <w:pPr>
        <w:ind w:left="1789" w:hanging="360"/>
      </w:pPr>
      <w:rPr>
        <w:rFonts w:hint="default" w:ascii="Times New Roman" w:hAnsi="Times New Roman" w:cs="Times New Roman"/>
      </w:rPr>
    </w:lvl>
    <w:lvl w:ilvl="2" w:tentative="0">
      <w:start w:val="1"/>
      <w:numFmt w:val="lowerRoman"/>
      <w:lvlText w:val="%3."/>
      <w:lvlJc w:val="right"/>
      <w:pPr>
        <w:ind w:left="2509" w:hanging="180"/>
      </w:pPr>
      <w:rPr>
        <w:rFonts w:hint="default" w:ascii="Times New Roman" w:hAnsi="Times New Roman" w:cs="Times New Roman"/>
      </w:rPr>
    </w:lvl>
    <w:lvl w:ilvl="3" w:tentative="0">
      <w:start w:val="1"/>
      <w:numFmt w:val="decimal"/>
      <w:lvlText w:val="%4."/>
      <w:lvlJc w:val="left"/>
      <w:pPr>
        <w:ind w:left="3229" w:hanging="360"/>
      </w:pPr>
      <w:rPr>
        <w:rFonts w:hint="default" w:ascii="Times New Roman" w:hAnsi="Times New Roman" w:cs="Times New Roman"/>
      </w:rPr>
    </w:lvl>
    <w:lvl w:ilvl="4" w:tentative="0">
      <w:start w:val="1"/>
      <w:numFmt w:val="lowerLetter"/>
      <w:lvlText w:val="%5."/>
      <w:lvlJc w:val="left"/>
      <w:pPr>
        <w:ind w:left="3949" w:hanging="360"/>
      </w:pPr>
      <w:rPr>
        <w:rFonts w:hint="default" w:ascii="Times New Roman" w:hAnsi="Times New Roman" w:cs="Times New Roman"/>
      </w:rPr>
    </w:lvl>
    <w:lvl w:ilvl="5" w:tentative="0">
      <w:start w:val="1"/>
      <w:numFmt w:val="lowerRoman"/>
      <w:lvlText w:val="%6."/>
      <w:lvlJc w:val="right"/>
      <w:pPr>
        <w:ind w:left="4669" w:hanging="180"/>
      </w:pPr>
      <w:rPr>
        <w:rFonts w:hint="default" w:ascii="Times New Roman" w:hAnsi="Times New Roman" w:cs="Times New Roman"/>
      </w:rPr>
    </w:lvl>
    <w:lvl w:ilvl="6" w:tentative="0">
      <w:start w:val="1"/>
      <w:numFmt w:val="decimal"/>
      <w:lvlText w:val="%7."/>
      <w:lvlJc w:val="left"/>
      <w:pPr>
        <w:ind w:left="5389" w:hanging="360"/>
      </w:pPr>
      <w:rPr>
        <w:rFonts w:hint="default" w:ascii="Times New Roman" w:hAnsi="Times New Roman" w:cs="Times New Roman"/>
      </w:rPr>
    </w:lvl>
    <w:lvl w:ilvl="7" w:tentative="0">
      <w:start w:val="1"/>
      <w:numFmt w:val="lowerLetter"/>
      <w:lvlText w:val="%8."/>
      <w:lvlJc w:val="left"/>
      <w:pPr>
        <w:ind w:left="6109" w:hanging="360"/>
      </w:pPr>
      <w:rPr>
        <w:rFonts w:hint="default" w:ascii="Times New Roman" w:hAnsi="Times New Roman" w:cs="Times New Roman"/>
      </w:rPr>
    </w:lvl>
    <w:lvl w:ilvl="8" w:tentative="0">
      <w:start w:val="1"/>
      <w:numFmt w:val="lowerRoman"/>
      <w:lvlText w:val="%9."/>
      <w:lvlJc w:val="right"/>
      <w:pPr>
        <w:ind w:left="6829" w:hanging="180"/>
      </w:pPr>
      <w:rPr>
        <w:rFonts w:hint="default" w:ascii="Times New Roman" w:hAnsi="Times New Roman"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38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B6B"/>
    <w:rsid w:val="00105C9C"/>
    <w:rsid w:val="002D703D"/>
    <w:rsid w:val="0033296D"/>
    <w:rsid w:val="00405B6B"/>
    <w:rsid w:val="00463418"/>
    <w:rsid w:val="00486435"/>
    <w:rsid w:val="005323A7"/>
    <w:rsid w:val="00540CE8"/>
    <w:rsid w:val="007F6750"/>
    <w:rsid w:val="00843A28"/>
    <w:rsid w:val="00B3587A"/>
    <w:rsid w:val="00BD20E7"/>
    <w:rsid w:val="00DB72B6"/>
    <w:rsid w:val="00EB1485"/>
    <w:rsid w:val="00EB7A70"/>
    <w:rsid w:val="256F0522"/>
    <w:rsid w:val="2A5C4F88"/>
    <w:rsid w:val="2AEE7E48"/>
    <w:rsid w:val="4C323A78"/>
    <w:rsid w:val="506700DB"/>
    <w:rsid w:val="52BC2677"/>
    <w:rsid w:val="543F2E4C"/>
    <w:rsid w:val="5EE20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8"/>
      <w:szCs w:val="22"/>
      <w:lang w:val="en-US" w:eastAsia="en-US" w:bidi="ar-SA"/>
    </w:rPr>
  </w:style>
  <w:style w:type="paragraph" w:styleId="2">
    <w:name w:val="heading 1"/>
    <w:basedOn w:val="1"/>
    <w:next w:val="1"/>
    <w:link w:val="11"/>
    <w:qFormat/>
    <w:uiPriority w:val="9"/>
    <w:pPr>
      <w:keepNext/>
      <w:keepLines/>
      <w:spacing w:before="480" w:after="0"/>
      <w:outlineLvl w:val="0"/>
    </w:pPr>
    <w:rPr>
      <w:rFonts w:asciiTheme="majorHAnsi" w:hAnsiTheme="majorHAnsi" w:eastAsiaTheme="majorEastAsia" w:cstheme="majorBidi"/>
      <w:b/>
      <w:bCs/>
      <w:color w:val="376092" w:themeColor="accent1" w:themeShade="BF"/>
      <w:szCs w:val="28"/>
    </w:rPr>
  </w:style>
  <w:style w:type="paragraph" w:styleId="3">
    <w:name w:val="heading 2"/>
    <w:basedOn w:val="1"/>
    <w:next w:val="1"/>
    <w:link w:val="12"/>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9"/>
    <w:semiHidden/>
    <w:unhideWhenUsed/>
    <w:qFormat/>
    <w:uiPriority w:val="99"/>
    <w:pPr>
      <w:spacing w:after="0" w:line="240" w:lineRule="auto"/>
    </w:pPr>
    <w:rPr>
      <w:rFonts w:ascii="Tahoma" w:hAnsi="Tahoma" w:cs="Tahoma"/>
      <w:sz w:val="16"/>
      <w:szCs w:val="16"/>
    </w:rPr>
  </w:style>
  <w:style w:type="paragraph" w:styleId="7">
    <w:name w:val="footer"/>
    <w:basedOn w:val="1"/>
    <w:semiHidden/>
    <w:unhideWhenUsed/>
    <w:qFormat/>
    <w:uiPriority w:val="99"/>
    <w:pPr>
      <w:tabs>
        <w:tab w:val="center" w:pos="4153"/>
        <w:tab w:val="right" w:pos="8306"/>
      </w:tabs>
      <w:snapToGrid w:val="0"/>
    </w:pPr>
    <w:rPr>
      <w:sz w:val="18"/>
      <w:szCs w:val="18"/>
    </w:rPr>
  </w:style>
  <w:style w:type="paragraph" w:styleId="8">
    <w:name w:val="header"/>
    <w:basedOn w:val="1"/>
    <w:semiHidden/>
    <w:unhideWhenUsed/>
    <w:qFormat/>
    <w:uiPriority w:val="99"/>
    <w:pPr>
      <w:tabs>
        <w:tab w:val="center" w:pos="4153"/>
        <w:tab w:val="right" w:pos="8306"/>
      </w:tabs>
      <w:snapToGrid w:val="0"/>
    </w:pPr>
    <w:rPr>
      <w:sz w:val="18"/>
      <w:szCs w:val="18"/>
    </w:rPr>
  </w:style>
  <w:style w:type="character" w:customStyle="1" w:styleId="9">
    <w:name w:val="Balloon Text Char"/>
    <w:basedOn w:val="4"/>
    <w:link w:val="6"/>
    <w:semiHidden/>
    <w:qFormat/>
    <w:uiPriority w:val="99"/>
    <w:rPr>
      <w:rFonts w:ascii="Tahoma" w:hAnsi="Tahoma" w:cs="Tahoma"/>
      <w:sz w:val="16"/>
      <w:szCs w:val="16"/>
    </w:rPr>
  </w:style>
  <w:style w:type="paragraph" w:styleId="10">
    <w:name w:val="List Paragraph"/>
    <w:basedOn w:val="1"/>
    <w:unhideWhenUsed/>
    <w:uiPriority w:val="99"/>
    <w:pPr>
      <w:ind w:left="720"/>
      <w:contextualSpacing/>
    </w:pPr>
  </w:style>
  <w:style w:type="character" w:customStyle="1" w:styleId="11">
    <w:name w:val="Heading 1 Char"/>
    <w:basedOn w:val="4"/>
    <w:link w:val="2"/>
    <w:uiPriority w:val="9"/>
    <w:rPr>
      <w:rFonts w:asciiTheme="majorHAnsi" w:hAnsiTheme="majorHAnsi" w:eastAsiaTheme="majorEastAsia" w:cstheme="majorBidi"/>
      <w:b/>
      <w:bCs/>
      <w:color w:val="376092" w:themeColor="accent1" w:themeShade="BF"/>
      <w:sz w:val="28"/>
      <w:szCs w:val="28"/>
    </w:rPr>
  </w:style>
  <w:style w:type="character" w:customStyle="1" w:styleId="12">
    <w:name w:val="Heading 2 Char"/>
    <w:basedOn w:val="4"/>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2147</Words>
  <Characters>7898</Characters>
  <Lines>71</Lines>
  <Paragraphs>20</Paragraphs>
  <TotalTime>296</TotalTime>
  <ScaleCrop>false</ScaleCrop>
  <LinksUpToDate>false</LinksUpToDate>
  <CharactersWithSpaces>10005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2024-11-07T03:43:00Z</dcterms:created>
  <dc:creator>Windows User</dc:creator>
  <cp:lastModifiedBy>Thiện Nguyễn</cp:lastModifiedBy>
  <cp:lastPrinted>2025-02-04T02:47:00Z</cp:lastPrinted>
  <dcterms:modified xsi:type="dcterms:W3CDTF">2025-02-17T02:25:35Z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7163E33E944046C18C310469F798292E_12</vt:lpwstr>
  </property>
</Properties>
</file>